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AC" w:rsidRDefault="00287FAC" w:rsidP="00287FAC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6187E">
        <w:rPr>
          <w:rFonts w:eastAsia="Times New Roman" w:cs="Times New Roman"/>
          <w:b/>
          <w:bCs/>
          <w:szCs w:val="28"/>
          <w:lang w:eastAsia="ru-RU"/>
        </w:rPr>
        <w:t xml:space="preserve">ВАРИАНТ </w:t>
      </w:r>
      <w:r>
        <w:rPr>
          <w:rFonts w:eastAsia="Times New Roman" w:cs="Times New Roman"/>
          <w:b/>
          <w:bCs/>
          <w:szCs w:val="28"/>
          <w:lang w:eastAsia="ru-RU"/>
        </w:rPr>
        <w:t>47</w:t>
      </w:r>
    </w:p>
    <w:p w:rsidR="0003754E" w:rsidRDefault="0003754E" w:rsidP="00287FAC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D10875" w:rsidRPr="002D45F7" w:rsidRDefault="00D10875" w:rsidP="00D10875">
      <w:pPr>
        <w:widowControl w:val="0"/>
        <w:suppressAutoHyphens/>
        <w:spacing w:line="276" w:lineRule="auto"/>
        <w:ind w:firstLine="709"/>
        <w:rPr>
          <w:rFonts w:eastAsia="Andale Sans UI" w:cs="Times New Roman"/>
          <w:kern w:val="2"/>
          <w:szCs w:val="28"/>
          <w:lang w:eastAsia="ar-SA"/>
        </w:rPr>
      </w:pPr>
      <w:r w:rsidRPr="002D45F7">
        <w:rPr>
          <w:rFonts w:eastAsia="Andale Sans UI" w:cs="Times New Roman"/>
          <w:kern w:val="2"/>
          <w:szCs w:val="28"/>
          <w:lang w:eastAsia="ar-SA"/>
        </w:rPr>
        <w:t xml:space="preserve">Матрица </w:t>
      </w:r>
      <w:proofErr w:type="spellStart"/>
      <w:r w:rsidRPr="002D45F7">
        <w:rPr>
          <w:rFonts w:eastAsia="Andale Sans UI" w:cs="Times New Roman"/>
          <w:kern w:val="2"/>
          <w:szCs w:val="28"/>
          <w:lang w:eastAsia="ar-SA"/>
        </w:rPr>
        <w:t>Boston</w:t>
      </w:r>
      <w:proofErr w:type="spellEnd"/>
      <w:r w:rsidRPr="002D45F7">
        <w:rPr>
          <w:rFonts w:eastAsia="Andale Sans UI" w:cs="Times New Roman"/>
          <w:kern w:val="2"/>
          <w:szCs w:val="28"/>
          <w:lang w:eastAsia="ar-SA"/>
        </w:rPr>
        <w:t xml:space="preserve"> </w:t>
      </w:r>
      <w:proofErr w:type="spellStart"/>
      <w:r w:rsidRPr="002D45F7">
        <w:rPr>
          <w:rFonts w:eastAsia="Andale Sans UI" w:cs="Times New Roman"/>
          <w:kern w:val="2"/>
          <w:szCs w:val="28"/>
          <w:lang w:eastAsia="ar-SA"/>
        </w:rPr>
        <w:t>Consultin</w:t>
      </w:r>
      <w:proofErr w:type="spellEnd"/>
      <w:r w:rsidRPr="002D45F7">
        <w:rPr>
          <w:rFonts w:eastAsia="Andale Sans UI" w:cs="Times New Roman"/>
          <w:kern w:val="2"/>
          <w:szCs w:val="28"/>
          <w:lang w:eastAsia="ar-SA"/>
        </w:rPr>
        <w:t xml:space="preserve"> </w:t>
      </w:r>
      <w:proofErr w:type="spellStart"/>
      <w:r w:rsidRPr="002D45F7">
        <w:rPr>
          <w:rFonts w:eastAsia="Andale Sans UI" w:cs="Times New Roman"/>
          <w:kern w:val="2"/>
          <w:szCs w:val="28"/>
          <w:lang w:eastAsia="ar-SA"/>
        </w:rPr>
        <w:t>Group</w:t>
      </w:r>
      <w:proofErr w:type="spellEnd"/>
      <w:r w:rsidRPr="002D45F7">
        <w:rPr>
          <w:rFonts w:eastAsia="Andale Sans UI" w:cs="Times New Roman"/>
          <w:kern w:val="2"/>
          <w:szCs w:val="28"/>
          <w:lang w:eastAsia="ar-SA"/>
        </w:rPr>
        <w:t xml:space="preserve"> (BCG </w:t>
      </w:r>
      <w:proofErr w:type="spellStart"/>
      <w:r w:rsidRPr="002D45F7">
        <w:rPr>
          <w:rFonts w:eastAsia="Andale Sans UI" w:cs="Times New Roman"/>
          <w:kern w:val="2"/>
          <w:szCs w:val="28"/>
          <w:lang w:eastAsia="ar-SA"/>
        </w:rPr>
        <w:t>Growth</w:t>
      </w:r>
      <w:proofErr w:type="spellEnd"/>
      <w:r w:rsidRPr="002D45F7">
        <w:rPr>
          <w:rFonts w:eastAsia="Andale Sans UI" w:cs="Times New Roman"/>
          <w:kern w:val="2"/>
          <w:szCs w:val="28"/>
          <w:lang w:eastAsia="ar-SA"/>
        </w:rPr>
        <w:t xml:space="preserve"> </w:t>
      </w:r>
      <w:proofErr w:type="spellStart"/>
      <w:r w:rsidRPr="002D45F7">
        <w:rPr>
          <w:rFonts w:eastAsia="Andale Sans UI" w:cs="Times New Roman"/>
          <w:kern w:val="2"/>
          <w:szCs w:val="28"/>
          <w:lang w:eastAsia="ar-SA"/>
        </w:rPr>
        <w:t>Share</w:t>
      </w:r>
      <w:proofErr w:type="spellEnd"/>
      <w:r w:rsidRPr="002D45F7">
        <w:rPr>
          <w:rFonts w:eastAsia="Andale Sans UI" w:cs="Times New Roman"/>
          <w:kern w:val="2"/>
          <w:szCs w:val="28"/>
          <w:lang w:eastAsia="ar-SA"/>
        </w:rPr>
        <w:t xml:space="preserve"> </w:t>
      </w:r>
      <w:proofErr w:type="spellStart"/>
      <w:r w:rsidRPr="002D45F7">
        <w:rPr>
          <w:rFonts w:eastAsia="Andale Sans UI" w:cs="Times New Roman"/>
          <w:kern w:val="2"/>
          <w:szCs w:val="28"/>
          <w:lang w:eastAsia="ar-SA"/>
        </w:rPr>
        <w:t>Matrix</w:t>
      </w:r>
      <w:proofErr w:type="spellEnd"/>
      <w:r w:rsidRPr="002D45F7">
        <w:rPr>
          <w:rFonts w:eastAsia="Andale Sans UI" w:cs="Times New Roman"/>
          <w:kern w:val="2"/>
          <w:szCs w:val="28"/>
          <w:lang w:eastAsia="ar-SA"/>
        </w:rPr>
        <w:t xml:space="preserve">) позволяет классифицировать каждый продукт компании по его доле на рынке относительно основных конкурентов и по темпам роста в отрасли. Она дает возможность определить, какие продукты компании занимают ведущие позиции по сравнению с конкурентами. </w:t>
      </w:r>
    </w:p>
    <w:p w:rsidR="00D10875" w:rsidRPr="002D45F7" w:rsidRDefault="00D10875" w:rsidP="00D10875">
      <w:pPr>
        <w:widowControl w:val="0"/>
        <w:suppressAutoHyphens/>
        <w:spacing w:line="276" w:lineRule="auto"/>
        <w:ind w:firstLine="709"/>
        <w:rPr>
          <w:rFonts w:eastAsia="Andale Sans UI" w:cs="Times New Roman"/>
          <w:kern w:val="2"/>
          <w:szCs w:val="28"/>
          <w:lang w:eastAsia="ar-SA"/>
        </w:rPr>
      </w:pPr>
      <w:r w:rsidRPr="002D45F7">
        <w:rPr>
          <w:rFonts w:eastAsia="Andale Sans UI" w:cs="Times New Roman"/>
          <w:kern w:val="2"/>
          <w:szCs w:val="28"/>
          <w:lang w:eastAsia="ar-SA"/>
        </w:rPr>
        <w:t xml:space="preserve">В основу данной матрицы положены следующие допущения: чем больше скорость роста, тем больше возможности развития; чем больше доля рынка, тем сильнее позиции организации в конкурентной борьбе. </w:t>
      </w:r>
    </w:p>
    <w:p w:rsidR="00860F91" w:rsidRPr="002D45F7" w:rsidRDefault="00D10875" w:rsidP="00D10875">
      <w:pPr>
        <w:widowControl w:val="0"/>
        <w:suppressAutoHyphens/>
        <w:spacing w:line="276" w:lineRule="auto"/>
        <w:ind w:firstLine="709"/>
        <w:rPr>
          <w:rFonts w:eastAsia="Andale Sans UI" w:cs="Times New Roman"/>
          <w:kern w:val="2"/>
          <w:szCs w:val="28"/>
          <w:lang w:eastAsia="ar-SA"/>
        </w:rPr>
      </w:pPr>
      <w:r w:rsidRPr="002D45F7">
        <w:rPr>
          <w:rFonts w:eastAsia="Andale Sans UI" w:cs="Times New Roman"/>
          <w:kern w:val="2"/>
          <w:szCs w:val="28"/>
          <w:lang w:eastAsia="ar-SA"/>
        </w:rPr>
        <w:t>Матрица предполагает четыре сценария развития продукта, которые получили 2 наименование «звезда», «дойная корова», «вопросительные знаки» и «собаки».</w:t>
      </w:r>
    </w:p>
    <w:p w:rsidR="00D10875" w:rsidRPr="002D45F7" w:rsidRDefault="00D10875" w:rsidP="00D10875">
      <w:pPr>
        <w:widowControl w:val="0"/>
        <w:suppressAutoHyphens/>
        <w:spacing w:line="276" w:lineRule="auto"/>
        <w:ind w:firstLine="709"/>
        <w:rPr>
          <w:rFonts w:eastAsia="Andale Sans UI" w:cs="Times New Roman"/>
          <w:kern w:val="2"/>
          <w:szCs w:val="28"/>
          <w:lang w:eastAsia="ar-SA"/>
        </w:rPr>
      </w:pPr>
      <w:r w:rsidRPr="002D45F7">
        <w:rPr>
          <w:rFonts w:eastAsia="Andale Sans UI" w:cs="Times New Roman"/>
          <w:kern w:val="2"/>
          <w:szCs w:val="28"/>
          <w:lang w:eastAsia="ar-SA"/>
        </w:rPr>
        <w:t>Таким образом, основной задачей модели БКГ является определение приоритетов в развитии ассортиментных единиц компании, определение ключевых направлений для будущих инвестиций. Метод помогает ответить на вопрос «Инвестиции в развитие каких товаров и услуг будут наиболее прибыльными?» и разработать долгосрочные стратегии развития каждой единицы ассортимента.</w:t>
      </w:r>
    </w:p>
    <w:p w:rsidR="00D10875" w:rsidRPr="002D45F7" w:rsidRDefault="00D10875" w:rsidP="00D10875">
      <w:pPr>
        <w:widowControl w:val="0"/>
        <w:suppressAutoHyphens/>
        <w:spacing w:line="276" w:lineRule="auto"/>
        <w:ind w:firstLine="709"/>
        <w:rPr>
          <w:rFonts w:eastAsia="Andale Sans UI" w:cs="Times New Roman"/>
          <w:kern w:val="2"/>
          <w:szCs w:val="28"/>
          <w:lang w:eastAsia="ar-SA"/>
        </w:rPr>
      </w:pPr>
    </w:p>
    <w:p w:rsidR="00860F91" w:rsidRPr="002D45F7" w:rsidRDefault="00860F91" w:rsidP="00D10875">
      <w:pPr>
        <w:widowControl w:val="0"/>
        <w:suppressAutoHyphens/>
        <w:spacing w:line="276" w:lineRule="auto"/>
        <w:ind w:firstLine="709"/>
        <w:rPr>
          <w:rFonts w:eastAsia="Andale Sans UI" w:cs="Times New Roman"/>
          <w:b/>
          <w:kern w:val="2"/>
          <w:szCs w:val="28"/>
          <w:lang w:eastAsia="ar-SA"/>
        </w:rPr>
      </w:pPr>
      <w:r w:rsidRPr="002D45F7">
        <w:rPr>
          <w:rFonts w:eastAsia="Andale Sans UI" w:cs="Times New Roman"/>
          <w:b/>
          <w:kern w:val="2"/>
          <w:szCs w:val="28"/>
          <w:lang w:eastAsia="ar-SA"/>
        </w:rPr>
        <w:t xml:space="preserve">Задание: </w:t>
      </w:r>
    </w:p>
    <w:p w:rsidR="00860F91" w:rsidRPr="002D45F7" w:rsidRDefault="00860F91" w:rsidP="00D10875">
      <w:pPr>
        <w:widowControl w:val="0"/>
        <w:suppressAutoHyphens/>
        <w:spacing w:line="276" w:lineRule="auto"/>
        <w:ind w:firstLine="709"/>
        <w:rPr>
          <w:rFonts w:eastAsia="Calibri" w:cs="Times New Roman"/>
          <w:szCs w:val="28"/>
        </w:rPr>
      </w:pPr>
      <w:r w:rsidRPr="002D45F7">
        <w:rPr>
          <w:rFonts w:eastAsia="Andale Sans UI" w:cs="Times New Roman"/>
          <w:kern w:val="2"/>
          <w:szCs w:val="28"/>
          <w:lang w:eastAsia="ar-SA"/>
        </w:rPr>
        <w:t>1</w:t>
      </w:r>
      <w:r w:rsidR="00D10875" w:rsidRPr="002D45F7">
        <w:rPr>
          <w:rFonts w:eastAsia="Andale Sans UI" w:cs="Times New Roman"/>
          <w:kern w:val="2"/>
          <w:szCs w:val="28"/>
          <w:lang w:eastAsia="ar-SA"/>
        </w:rPr>
        <w:t xml:space="preserve">. </w:t>
      </w:r>
      <w:r w:rsidRPr="002D45F7">
        <w:rPr>
          <w:rFonts w:eastAsia="Andale Sans UI" w:cs="Times New Roman"/>
          <w:kern w:val="2"/>
          <w:szCs w:val="28"/>
          <w:lang w:eastAsia="ar-SA"/>
        </w:rPr>
        <w:t xml:space="preserve"> </w:t>
      </w:r>
      <w:r w:rsidRPr="002D45F7">
        <w:rPr>
          <w:rFonts w:eastAsia="Calibri" w:cs="Times New Roman"/>
          <w:szCs w:val="28"/>
        </w:rPr>
        <w:t>Постройте матрицу БКГ по данным таблицы 1.</w:t>
      </w:r>
    </w:p>
    <w:p w:rsidR="00860F91" w:rsidRPr="002D45F7" w:rsidRDefault="00860F91" w:rsidP="00D10875">
      <w:pPr>
        <w:widowControl w:val="0"/>
        <w:tabs>
          <w:tab w:val="left" w:pos="142"/>
        </w:tabs>
        <w:suppressAutoHyphens/>
        <w:spacing w:line="276" w:lineRule="auto"/>
        <w:ind w:firstLine="709"/>
        <w:rPr>
          <w:rFonts w:eastAsia="Calibri" w:cs="Times New Roman"/>
          <w:szCs w:val="28"/>
        </w:rPr>
      </w:pPr>
      <w:r w:rsidRPr="002D45F7">
        <w:rPr>
          <w:rFonts w:eastAsia="Calibri" w:cs="Times New Roman"/>
          <w:szCs w:val="28"/>
        </w:rPr>
        <w:t>2</w:t>
      </w:r>
      <w:r w:rsidR="00D10875" w:rsidRPr="002D45F7">
        <w:rPr>
          <w:rFonts w:eastAsia="Calibri" w:cs="Times New Roman"/>
          <w:szCs w:val="28"/>
        </w:rPr>
        <w:t xml:space="preserve">. </w:t>
      </w:r>
      <w:r w:rsidRPr="002D45F7">
        <w:rPr>
          <w:rFonts w:eastAsia="Calibri" w:cs="Times New Roman"/>
          <w:szCs w:val="28"/>
        </w:rPr>
        <w:t>Используя матрицу БКГ, проведите анализ товарного портфеля предприятия и сформулируйте рекомендации.</w:t>
      </w:r>
    </w:p>
    <w:p w:rsidR="00860F91" w:rsidRDefault="00860F91" w:rsidP="00287FAC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60F91" w:rsidRPr="0036187E" w:rsidRDefault="00860F91" w:rsidP="00287FAC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60F91" w:rsidRDefault="00860F91">
      <w:pPr>
        <w:spacing w:after="200" w:line="276" w:lineRule="auto"/>
        <w:ind w:firstLine="0"/>
        <w:jc w:val="left"/>
        <w:rPr>
          <w:rFonts w:eastAsia="Andale Sans UI" w:cs="Times New Roman"/>
          <w:color w:val="000000"/>
          <w:kern w:val="2"/>
          <w:szCs w:val="28"/>
          <w:lang w:eastAsia="ar-SA"/>
        </w:rPr>
      </w:pPr>
      <w:r>
        <w:rPr>
          <w:rFonts w:eastAsia="Andale Sans UI" w:cs="Times New Roman"/>
          <w:color w:val="000000"/>
          <w:kern w:val="2"/>
          <w:szCs w:val="28"/>
          <w:lang w:eastAsia="ar-SA"/>
        </w:rPr>
        <w:br w:type="page"/>
      </w:r>
    </w:p>
    <w:p w:rsidR="002D45F7" w:rsidRPr="002D45F7" w:rsidRDefault="002D45F7" w:rsidP="002D45F7">
      <w:pPr>
        <w:widowControl w:val="0"/>
        <w:suppressAutoHyphens/>
        <w:spacing w:before="120"/>
        <w:ind w:firstLine="0"/>
        <w:jc w:val="center"/>
        <w:rPr>
          <w:rFonts w:eastAsia="Andale Sans UI" w:cs="Times New Roman"/>
          <w:b/>
          <w:color w:val="000000"/>
          <w:kern w:val="2"/>
          <w:szCs w:val="28"/>
          <w:lang w:eastAsia="ar-SA"/>
        </w:rPr>
      </w:pPr>
      <w:r w:rsidRPr="002D45F7">
        <w:rPr>
          <w:rFonts w:eastAsia="Andale Sans UI" w:cs="Times New Roman"/>
          <w:b/>
          <w:color w:val="000000"/>
          <w:kern w:val="2"/>
          <w:szCs w:val="28"/>
          <w:lang w:eastAsia="ar-SA"/>
        </w:rPr>
        <w:lastRenderedPageBreak/>
        <w:t>Исходные данные</w:t>
      </w:r>
    </w:p>
    <w:p w:rsidR="0003754E" w:rsidRPr="002D45F7" w:rsidRDefault="0003754E" w:rsidP="0003754E">
      <w:pPr>
        <w:widowControl w:val="0"/>
        <w:suppressAutoHyphens/>
        <w:spacing w:before="120"/>
        <w:ind w:firstLine="0"/>
        <w:rPr>
          <w:rFonts w:eastAsia="Andale Sans UI" w:cs="Times New Roman"/>
          <w:color w:val="000000"/>
          <w:kern w:val="2"/>
          <w:szCs w:val="28"/>
          <w:lang w:eastAsia="ar-SA"/>
        </w:rPr>
      </w:pPr>
      <w:r w:rsidRPr="002D45F7">
        <w:rPr>
          <w:rFonts w:eastAsia="Andale Sans UI" w:cs="Times New Roman"/>
          <w:color w:val="000000"/>
          <w:kern w:val="2"/>
          <w:szCs w:val="28"/>
          <w:lang w:eastAsia="ar-SA"/>
        </w:rPr>
        <w:t>Таблица 1 - Начальные данные для построения матрицы БКГ</w:t>
      </w:r>
    </w:p>
    <w:tbl>
      <w:tblPr>
        <w:tblW w:w="0" w:type="auto"/>
        <w:tblInd w:w="124" w:type="dxa"/>
        <w:tblLayout w:type="fixed"/>
        <w:tblLook w:val="04A0" w:firstRow="1" w:lastRow="0" w:firstColumn="1" w:lastColumn="0" w:noHBand="0" w:noVBand="1"/>
      </w:tblPr>
      <w:tblGrid>
        <w:gridCol w:w="1949"/>
        <w:gridCol w:w="1380"/>
        <w:gridCol w:w="1455"/>
        <w:gridCol w:w="1620"/>
        <w:gridCol w:w="2936"/>
      </w:tblGrid>
      <w:tr w:rsidR="0003754E" w:rsidRPr="0003754E" w:rsidTr="002370A3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03754E" w:rsidRPr="0003754E" w:rsidRDefault="0003754E" w:rsidP="0003754E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Наименование продукции/товарной группы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Объем реализации, тыс. руб.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54E" w:rsidRPr="0003754E" w:rsidRDefault="0003754E" w:rsidP="0003754E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Прибыль, 2018г., </w:t>
            </w:r>
          </w:p>
          <w:p w:rsidR="0003754E" w:rsidRPr="0003754E" w:rsidRDefault="0003754E" w:rsidP="0003754E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Объем реализации конкурента в 2018г., тыс. руб.</w:t>
            </w:r>
          </w:p>
        </w:tc>
      </w:tr>
      <w:tr w:rsidR="0003754E" w:rsidRPr="0003754E" w:rsidTr="002370A3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754E" w:rsidRPr="0003754E" w:rsidRDefault="0003754E" w:rsidP="0003754E">
            <w:pPr>
              <w:spacing w:line="240" w:lineRule="auto"/>
              <w:ind w:firstLine="0"/>
              <w:jc w:val="left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754E" w:rsidRPr="0003754E" w:rsidRDefault="0003754E" w:rsidP="0003754E">
            <w:pPr>
              <w:spacing w:line="240" w:lineRule="auto"/>
              <w:ind w:firstLine="0"/>
              <w:jc w:val="left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03754E" w:rsidRPr="0003754E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3754E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21 500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24 700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9 200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14 200</w:t>
            </w:r>
          </w:p>
        </w:tc>
      </w:tr>
      <w:tr w:rsidR="0003754E" w:rsidRPr="0003754E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3754E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9 200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7 300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2 700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14 000</w:t>
            </w:r>
          </w:p>
        </w:tc>
      </w:tr>
      <w:tr w:rsidR="0003754E" w:rsidRPr="0003754E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3754E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11 600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10 300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3 400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6 500</w:t>
            </w:r>
          </w:p>
        </w:tc>
      </w:tr>
      <w:tr w:rsidR="0003754E" w:rsidRPr="0003754E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3754E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4 800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4 200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1 100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4 500</w:t>
            </w:r>
          </w:p>
        </w:tc>
      </w:tr>
      <w:tr w:rsidR="0003754E" w:rsidRPr="0003754E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3754E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8 000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7 400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2 900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11 500</w:t>
            </w:r>
          </w:p>
        </w:tc>
      </w:tr>
      <w:tr w:rsidR="0003754E" w:rsidRPr="0003754E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3754E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5 000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4 000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1 600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3 000</w:t>
            </w:r>
          </w:p>
        </w:tc>
      </w:tr>
      <w:tr w:rsidR="0003754E" w:rsidRPr="0003754E" w:rsidTr="002370A3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before="120" w:after="12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03754E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13 200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15 000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3 200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4E" w:rsidRPr="0003754E" w:rsidRDefault="0003754E" w:rsidP="0003754E">
            <w:pPr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03754E">
              <w:rPr>
                <w:rFonts w:eastAsia="Andale Sans UI" w:cs="Times New Roman"/>
                <w:color w:val="000000"/>
                <w:kern w:val="2"/>
                <w:sz w:val="24"/>
                <w:szCs w:val="24"/>
                <w:lang w:eastAsia="ar-SA"/>
              </w:rPr>
              <w:t>12 000</w:t>
            </w:r>
          </w:p>
        </w:tc>
      </w:tr>
    </w:tbl>
    <w:p w:rsidR="0003754E" w:rsidRPr="0003754E" w:rsidRDefault="0003754E" w:rsidP="0003754E">
      <w:pPr>
        <w:widowControl w:val="0"/>
        <w:suppressAutoHyphens/>
        <w:spacing w:line="240" w:lineRule="auto"/>
        <w:ind w:firstLine="0"/>
        <w:jc w:val="left"/>
        <w:rPr>
          <w:rFonts w:eastAsia="Andale Sans UI" w:cs="Times New Roman"/>
          <w:kern w:val="2"/>
          <w:sz w:val="24"/>
          <w:szCs w:val="24"/>
          <w:lang w:eastAsia="ar-SA"/>
        </w:rPr>
      </w:pPr>
    </w:p>
    <w:p w:rsidR="002D45F7" w:rsidRDefault="0003754E" w:rsidP="0003754E">
      <w:pPr>
        <w:widowControl w:val="0"/>
        <w:suppressAutoHyphens/>
        <w:spacing w:line="240" w:lineRule="auto"/>
        <w:ind w:firstLine="0"/>
        <w:rPr>
          <w:rFonts w:eastAsia="Andale Sans UI" w:cs="Times New Roman"/>
          <w:kern w:val="2"/>
          <w:szCs w:val="28"/>
          <w:lang w:eastAsia="ar-SA"/>
        </w:rPr>
      </w:pPr>
      <w:r w:rsidRPr="002D45F7">
        <w:rPr>
          <w:rFonts w:eastAsia="Andale Sans UI" w:cs="Times New Roman"/>
          <w:kern w:val="2"/>
          <w:szCs w:val="28"/>
          <w:lang w:eastAsia="ar-SA"/>
        </w:rPr>
        <w:t>Темп прироста рынка – 10%</w:t>
      </w:r>
    </w:p>
    <w:p w:rsidR="002D45F7" w:rsidRDefault="002D45F7">
      <w:pPr>
        <w:spacing w:after="200" w:line="276" w:lineRule="auto"/>
        <w:ind w:firstLine="0"/>
        <w:jc w:val="left"/>
        <w:rPr>
          <w:rFonts w:eastAsia="Andale Sans UI" w:cs="Times New Roman"/>
          <w:kern w:val="2"/>
          <w:szCs w:val="28"/>
          <w:lang w:eastAsia="ar-SA"/>
        </w:rPr>
      </w:pPr>
      <w:r>
        <w:rPr>
          <w:rFonts w:eastAsia="Andale Sans UI" w:cs="Times New Roman"/>
          <w:kern w:val="2"/>
          <w:szCs w:val="28"/>
          <w:lang w:eastAsia="ar-SA"/>
        </w:rPr>
        <w:br w:type="page"/>
      </w:r>
    </w:p>
    <w:p w:rsidR="0003754E" w:rsidRPr="00F024A1" w:rsidRDefault="002D45F7" w:rsidP="00F024A1">
      <w:pPr>
        <w:widowControl w:val="0"/>
        <w:suppressAutoHyphens/>
        <w:spacing w:line="240" w:lineRule="auto"/>
        <w:ind w:firstLine="0"/>
        <w:jc w:val="center"/>
        <w:rPr>
          <w:rFonts w:eastAsia="Andale Sans UI" w:cs="Times New Roman"/>
          <w:b/>
          <w:kern w:val="2"/>
          <w:szCs w:val="28"/>
          <w:lang w:eastAsia="ar-SA"/>
        </w:rPr>
      </w:pPr>
      <w:r w:rsidRPr="00F024A1">
        <w:rPr>
          <w:rFonts w:eastAsia="Andale Sans UI" w:cs="Times New Roman"/>
          <w:b/>
          <w:kern w:val="2"/>
          <w:szCs w:val="28"/>
          <w:lang w:eastAsia="ar-SA"/>
        </w:rPr>
        <w:lastRenderedPageBreak/>
        <w:t>Решение:</w:t>
      </w:r>
    </w:p>
    <w:p w:rsidR="002D45F7" w:rsidRDefault="002D45F7" w:rsidP="0003754E">
      <w:pPr>
        <w:widowControl w:val="0"/>
        <w:suppressAutoHyphens/>
        <w:spacing w:line="240" w:lineRule="auto"/>
        <w:ind w:firstLine="0"/>
        <w:rPr>
          <w:rFonts w:eastAsia="Andale Sans UI" w:cs="Times New Roman"/>
          <w:kern w:val="2"/>
          <w:szCs w:val="28"/>
          <w:lang w:eastAsia="ar-SA"/>
        </w:rPr>
      </w:pPr>
    </w:p>
    <w:p w:rsidR="002D45F7" w:rsidRDefault="00E64819" w:rsidP="00E64819">
      <w:pPr>
        <w:widowControl w:val="0"/>
        <w:suppressAutoHyphens/>
        <w:spacing w:line="240" w:lineRule="auto"/>
        <w:ind w:firstLine="709"/>
        <w:rPr>
          <w:rFonts w:cs="Times New Roman"/>
          <w:color w:val="212529"/>
          <w:szCs w:val="28"/>
          <w:shd w:val="clear" w:color="auto" w:fill="FFFFFF"/>
        </w:rPr>
      </w:pPr>
      <w:r w:rsidRPr="00E64819">
        <w:rPr>
          <w:rFonts w:cs="Times New Roman"/>
          <w:color w:val="212529"/>
          <w:szCs w:val="28"/>
          <w:shd w:val="clear" w:color="auto" w:fill="FFFFFF"/>
        </w:rPr>
        <w:t>Построение матрицы БКГ начинается с расчета трех показателей по каждой товарной группе, включенной в модель: относительная доля рынка товара компании, темп роста рынка и объем продаж/ прибыли анализируемых товарных групп.</w:t>
      </w:r>
    </w:p>
    <w:p w:rsidR="00E76CEA" w:rsidRDefault="00E76CEA" w:rsidP="00E64819">
      <w:pPr>
        <w:widowControl w:val="0"/>
        <w:suppressAutoHyphens/>
        <w:spacing w:line="240" w:lineRule="auto"/>
        <w:ind w:firstLine="709"/>
      </w:pPr>
      <w:r>
        <w:t>Относительная доля рынка (ОДР) рассчитывается как отношение собственных продаж (доли рынка) к продажам (доле рынка) сильнейшего конкурента или трех сильнейших конкурентов, в зависимости от степени концентрации на конкретном рынке.</w:t>
      </w:r>
    </w:p>
    <w:p w:rsidR="00E76CEA" w:rsidRDefault="00714EFD" w:rsidP="00E64819">
      <w:pPr>
        <w:widowControl w:val="0"/>
        <w:suppressAutoHyphens/>
        <w:spacing w:line="240" w:lineRule="auto"/>
        <w:ind w:firstLine="709"/>
        <w:rPr>
          <w:rFonts w:cs="Times New Roman"/>
          <w:color w:val="212529"/>
          <w:szCs w:val="28"/>
          <w:shd w:val="clear" w:color="auto" w:fill="FFFFFF"/>
        </w:rPr>
      </w:pPr>
      <w:r>
        <w:t>Темп роста продаж компании определяется как отношение объема реализации по i-</w:t>
      </w:r>
      <w:proofErr w:type="spellStart"/>
      <w:r>
        <w:t>му</w:t>
      </w:r>
      <w:proofErr w:type="spellEnd"/>
      <w:r>
        <w:t xml:space="preserve"> виду товаров за текущий период к объему реализации по i-</w:t>
      </w:r>
      <w:proofErr w:type="spellStart"/>
      <w:r>
        <w:t>му</w:t>
      </w:r>
      <w:proofErr w:type="spellEnd"/>
      <w:r>
        <w:t xml:space="preserve"> виду товаров за предыдущий период.</w:t>
      </w:r>
    </w:p>
    <w:p w:rsidR="00E76CEA" w:rsidRDefault="00E76CEA" w:rsidP="00E64819">
      <w:pPr>
        <w:widowControl w:val="0"/>
        <w:suppressAutoHyphens/>
        <w:spacing w:line="240" w:lineRule="auto"/>
        <w:ind w:firstLine="709"/>
        <w:rPr>
          <w:rFonts w:cs="Times New Roman"/>
          <w:color w:val="212529"/>
          <w:szCs w:val="28"/>
          <w:shd w:val="clear" w:color="auto" w:fill="FFFFFF"/>
        </w:rPr>
      </w:pPr>
    </w:p>
    <w:p w:rsidR="00E64819" w:rsidRDefault="00E64819" w:rsidP="00E64819">
      <w:pPr>
        <w:widowControl w:val="0"/>
        <w:suppressAutoHyphens/>
        <w:spacing w:line="240" w:lineRule="auto"/>
        <w:ind w:firstLine="709"/>
      </w:pPr>
      <w:r>
        <w:t>Таблица 2 - Расчетные данные для построения матрицы БКГ</w:t>
      </w:r>
    </w:p>
    <w:p w:rsidR="002669E6" w:rsidRDefault="002669E6" w:rsidP="00E64819">
      <w:pPr>
        <w:widowControl w:val="0"/>
        <w:suppressAutoHyphens/>
        <w:spacing w:line="240" w:lineRule="auto"/>
        <w:ind w:firstLine="709"/>
      </w:pPr>
    </w:p>
    <w:tbl>
      <w:tblPr>
        <w:tblStyle w:val="a3"/>
        <w:tblW w:w="10030" w:type="dxa"/>
        <w:tblInd w:w="-176" w:type="dxa"/>
        <w:tblLook w:val="04A0" w:firstRow="1" w:lastRow="0" w:firstColumn="1" w:lastColumn="0" w:noHBand="0" w:noVBand="1"/>
      </w:tblPr>
      <w:tblGrid>
        <w:gridCol w:w="2903"/>
        <w:gridCol w:w="876"/>
        <w:gridCol w:w="860"/>
        <w:gridCol w:w="886"/>
        <w:gridCol w:w="860"/>
        <w:gridCol w:w="861"/>
        <w:gridCol w:w="886"/>
        <w:gridCol w:w="876"/>
        <w:gridCol w:w="1022"/>
      </w:tblGrid>
      <w:tr w:rsidR="006F1806" w:rsidTr="009A074A">
        <w:trPr>
          <w:trHeight w:val="1224"/>
        </w:trPr>
        <w:tc>
          <w:tcPr>
            <w:tcW w:w="2914" w:type="dxa"/>
            <w:tcBorders>
              <w:tl2br w:val="single" w:sz="4" w:space="0" w:color="auto"/>
            </w:tcBorders>
          </w:tcPr>
          <w:p w:rsidR="006F1806" w:rsidRDefault="006F1806" w:rsidP="00C437DD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продукции (товарной группы)</w:t>
            </w:r>
          </w:p>
          <w:p w:rsidR="006F1806" w:rsidRDefault="006F1806" w:rsidP="00714EFD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</w:p>
          <w:p w:rsidR="006F1806" w:rsidRDefault="006F1806" w:rsidP="00C437DD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Показатель</w:t>
            </w:r>
          </w:p>
        </w:tc>
        <w:tc>
          <w:tcPr>
            <w:tcW w:w="876" w:type="dxa"/>
            <w:vAlign w:val="center"/>
          </w:tcPr>
          <w:p w:rsidR="006F1806" w:rsidRDefault="006F1806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861" w:type="dxa"/>
            <w:vAlign w:val="center"/>
          </w:tcPr>
          <w:p w:rsidR="006F1806" w:rsidRDefault="006F1806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886" w:type="dxa"/>
            <w:vAlign w:val="center"/>
          </w:tcPr>
          <w:p w:rsidR="006F1806" w:rsidRDefault="006F1806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861" w:type="dxa"/>
            <w:vAlign w:val="center"/>
          </w:tcPr>
          <w:p w:rsidR="006F1806" w:rsidRDefault="006F1806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862" w:type="dxa"/>
            <w:vAlign w:val="center"/>
          </w:tcPr>
          <w:p w:rsidR="006F1806" w:rsidRDefault="006F1806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</w:rPr>
              <w:t>Д</w:t>
            </w:r>
          </w:p>
        </w:tc>
        <w:tc>
          <w:tcPr>
            <w:tcW w:w="886" w:type="dxa"/>
            <w:vAlign w:val="center"/>
          </w:tcPr>
          <w:p w:rsidR="006F1806" w:rsidRDefault="006F1806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Cs w:val="28"/>
              </w:rPr>
              <w:t>Е</w:t>
            </w:r>
          </w:p>
        </w:tc>
        <w:tc>
          <w:tcPr>
            <w:tcW w:w="862" w:type="dxa"/>
            <w:vAlign w:val="center"/>
          </w:tcPr>
          <w:p w:rsidR="006F1806" w:rsidRDefault="009A074A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Ж</w:t>
            </w:r>
          </w:p>
        </w:tc>
        <w:tc>
          <w:tcPr>
            <w:tcW w:w="1022" w:type="dxa"/>
            <w:vAlign w:val="center"/>
          </w:tcPr>
          <w:p w:rsidR="006F1806" w:rsidRDefault="006F1806" w:rsidP="002669E6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ИТОГО</w:t>
            </w:r>
          </w:p>
        </w:tc>
      </w:tr>
      <w:tr w:rsidR="006F1806" w:rsidTr="009A074A">
        <w:tc>
          <w:tcPr>
            <w:tcW w:w="2914" w:type="dxa"/>
          </w:tcPr>
          <w:p w:rsidR="006F1806" w:rsidRPr="00C8675B" w:rsidRDefault="006F1806" w:rsidP="00EE4F9A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91381F">
              <w:rPr>
                <w:rFonts w:eastAsia="Calibri" w:cs="Times New Roman"/>
                <w:sz w:val="24"/>
                <w:szCs w:val="24"/>
              </w:rPr>
              <w:t>Темп роста рынка (продаж компании), %</w:t>
            </w:r>
          </w:p>
        </w:tc>
        <w:tc>
          <w:tcPr>
            <w:tcW w:w="876" w:type="dxa"/>
            <w:vAlign w:val="center"/>
          </w:tcPr>
          <w:p w:rsidR="006F1806" w:rsidRPr="00015408" w:rsidRDefault="006F1806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114,88</w:t>
            </w:r>
          </w:p>
        </w:tc>
        <w:tc>
          <w:tcPr>
            <w:tcW w:w="861" w:type="dxa"/>
            <w:vAlign w:val="center"/>
          </w:tcPr>
          <w:p w:rsidR="006F1806" w:rsidRPr="00015408" w:rsidRDefault="006F1806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79,35</w:t>
            </w:r>
          </w:p>
        </w:tc>
        <w:tc>
          <w:tcPr>
            <w:tcW w:w="886" w:type="dxa"/>
            <w:vAlign w:val="center"/>
          </w:tcPr>
          <w:p w:rsidR="006F1806" w:rsidRPr="00015408" w:rsidRDefault="006F1806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88,79</w:t>
            </w:r>
          </w:p>
        </w:tc>
        <w:tc>
          <w:tcPr>
            <w:tcW w:w="861" w:type="dxa"/>
            <w:vAlign w:val="center"/>
          </w:tcPr>
          <w:p w:rsidR="006F1806" w:rsidRPr="00015408" w:rsidRDefault="006F1806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87,5</w:t>
            </w:r>
          </w:p>
        </w:tc>
        <w:tc>
          <w:tcPr>
            <w:tcW w:w="862" w:type="dxa"/>
            <w:vAlign w:val="center"/>
          </w:tcPr>
          <w:p w:rsidR="006F1806" w:rsidRPr="00015408" w:rsidRDefault="006F1806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92,5</w:t>
            </w:r>
          </w:p>
        </w:tc>
        <w:tc>
          <w:tcPr>
            <w:tcW w:w="886" w:type="dxa"/>
            <w:vAlign w:val="center"/>
          </w:tcPr>
          <w:p w:rsidR="006F1806" w:rsidRPr="00015408" w:rsidRDefault="006F1806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80</w:t>
            </w:r>
          </w:p>
        </w:tc>
        <w:tc>
          <w:tcPr>
            <w:tcW w:w="862" w:type="dxa"/>
            <w:vAlign w:val="center"/>
          </w:tcPr>
          <w:p w:rsidR="006F1806" w:rsidRPr="00015408" w:rsidRDefault="009A074A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113,64</w:t>
            </w:r>
          </w:p>
        </w:tc>
        <w:tc>
          <w:tcPr>
            <w:tcW w:w="1022" w:type="dxa"/>
            <w:vAlign w:val="center"/>
          </w:tcPr>
          <w:p w:rsidR="006F1806" w:rsidRPr="00015408" w:rsidRDefault="006F1806" w:rsidP="00015408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1806" w:rsidTr="009A074A">
        <w:tc>
          <w:tcPr>
            <w:tcW w:w="2914" w:type="dxa"/>
          </w:tcPr>
          <w:p w:rsidR="006F1806" w:rsidRPr="00C8675B" w:rsidRDefault="006F1806" w:rsidP="00753132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91381F">
              <w:rPr>
                <w:rFonts w:eastAsia="Calibri" w:cs="Times New Roman"/>
                <w:sz w:val="24"/>
                <w:szCs w:val="24"/>
              </w:rPr>
              <w:t>Относительная доля рынка,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1381F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5408">
              <w:rPr>
                <w:rFonts w:eastAsia="Calibri" w:cs="Times New Roman"/>
                <w:sz w:val="24"/>
                <w:szCs w:val="24"/>
              </w:rPr>
              <w:t>173,94</w:t>
            </w:r>
          </w:p>
        </w:tc>
        <w:tc>
          <w:tcPr>
            <w:tcW w:w="861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5408">
              <w:rPr>
                <w:rFonts w:eastAsia="Calibri" w:cs="Times New Roman"/>
                <w:sz w:val="24"/>
                <w:szCs w:val="24"/>
              </w:rPr>
              <w:t>52,14</w:t>
            </w:r>
          </w:p>
        </w:tc>
        <w:tc>
          <w:tcPr>
            <w:tcW w:w="886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5408">
              <w:rPr>
                <w:rFonts w:eastAsia="Calibri" w:cs="Times New Roman"/>
                <w:sz w:val="24"/>
                <w:szCs w:val="24"/>
              </w:rPr>
              <w:t>158,46</w:t>
            </w:r>
          </w:p>
        </w:tc>
        <w:tc>
          <w:tcPr>
            <w:tcW w:w="861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5408">
              <w:rPr>
                <w:rFonts w:eastAsia="Calibri" w:cs="Times New Roman"/>
                <w:sz w:val="24"/>
                <w:szCs w:val="24"/>
              </w:rPr>
              <w:t>93,33</w:t>
            </w:r>
          </w:p>
        </w:tc>
        <w:tc>
          <w:tcPr>
            <w:tcW w:w="862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5408">
              <w:rPr>
                <w:rFonts w:eastAsia="Calibri" w:cs="Times New Roman"/>
                <w:sz w:val="24"/>
                <w:szCs w:val="24"/>
              </w:rPr>
              <w:t>64,35</w:t>
            </w:r>
          </w:p>
        </w:tc>
        <w:tc>
          <w:tcPr>
            <w:tcW w:w="886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5408">
              <w:rPr>
                <w:rFonts w:eastAsia="Calibri" w:cs="Times New Roman"/>
                <w:sz w:val="24"/>
                <w:szCs w:val="24"/>
              </w:rPr>
              <w:t>133,33</w:t>
            </w:r>
          </w:p>
        </w:tc>
        <w:tc>
          <w:tcPr>
            <w:tcW w:w="862" w:type="dxa"/>
            <w:vAlign w:val="center"/>
          </w:tcPr>
          <w:p w:rsidR="006F1806" w:rsidRPr="00015408" w:rsidRDefault="004A2440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125,00</w:t>
            </w:r>
          </w:p>
        </w:tc>
        <w:tc>
          <w:tcPr>
            <w:tcW w:w="1022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F1806" w:rsidTr="009A074A">
        <w:tc>
          <w:tcPr>
            <w:tcW w:w="2914" w:type="dxa"/>
          </w:tcPr>
          <w:p w:rsidR="006F1806" w:rsidRPr="00C8675B" w:rsidRDefault="006F1806" w:rsidP="00753132">
            <w:pPr>
              <w:widowControl w:val="0"/>
              <w:tabs>
                <w:tab w:val="left" w:pos="142"/>
              </w:tabs>
              <w:suppressAutoHyphens/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  <w:r w:rsidRPr="0091381F">
              <w:rPr>
                <w:rFonts w:eastAsia="Calibri" w:cs="Times New Roman"/>
                <w:sz w:val="24"/>
                <w:szCs w:val="24"/>
              </w:rPr>
              <w:t>Доля прибыли, %</w:t>
            </w:r>
          </w:p>
        </w:tc>
        <w:tc>
          <w:tcPr>
            <w:tcW w:w="876" w:type="dxa"/>
            <w:vAlign w:val="center"/>
          </w:tcPr>
          <w:p w:rsidR="006F1806" w:rsidRPr="00015408" w:rsidRDefault="002942DA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38,17</w:t>
            </w:r>
          </w:p>
        </w:tc>
        <w:tc>
          <w:tcPr>
            <w:tcW w:w="861" w:type="dxa"/>
            <w:vAlign w:val="center"/>
          </w:tcPr>
          <w:p w:rsidR="006F1806" w:rsidRPr="00015408" w:rsidRDefault="002942DA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11,20</w:t>
            </w:r>
          </w:p>
        </w:tc>
        <w:tc>
          <w:tcPr>
            <w:tcW w:w="886" w:type="dxa"/>
            <w:vAlign w:val="center"/>
          </w:tcPr>
          <w:p w:rsidR="006F1806" w:rsidRPr="00015408" w:rsidRDefault="002942DA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14,11</w:t>
            </w:r>
          </w:p>
        </w:tc>
        <w:tc>
          <w:tcPr>
            <w:tcW w:w="861" w:type="dxa"/>
            <w:vAlign w:val="center"/>
          </w:tcPr>
          <w:p w:rsidR="006F1806" w:rsidRPr="00015408" w:rsidRDefault="002942DA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4,56</w:t>
            </w:r>
          </w:p>
        </w:tc>
        <w:tc>
          <w:tcPr>
            <w:tcW w:w="862" w:type="dxa"/>
            <w:vAlign w:val="center"/>
          </w:tcPr>
          <w:p w:rsidR="006F1806" w:rsidRPr="00015408" w:rsidRDefault="002942DA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12,03</w:t>
            </w:r>
          </w:p>
        </w:tc>
        <w:tc>
          <w:tcPr>
            <w:tcW w:w="886" w:type="dxa"/>
            <w:vAlign w:val="center"/>
          </w:tcPr>
          <w:p w:rsidR="006F1806" w:rsidRPr="00015408" w:rsidRDefault="002942DA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6,64</w:t>
            </w:r>
          </w:p>
        </w:tc>
        <w:tc>
          <w:tcPr>
            <w:tcW w:w="862" w:type="dxa"/>
            <w:vAlign w:val="center"/>
          </w:tcPr>
          <w:p w:rsidR="006F1806" w:rsidRPr="00015408" w:rsidRDefault="002942DA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13,28</w:t>
            </w:r>
          </w:p>
        </w:tc>
        <w:tc>
          <w:tcPr>
            <w:tcW w:w="1022" w:type="dxa"/>
            <w:vAlign w:val="center"/>
          </w:tcPr>
          <w:p w:rsidR="006F1806" w:rsidRPr="00015408" w:rsidRDefault="006F1806" w:rsidP="00753132">
            <w:pPr>
              <w:widowControl w:val="0"/>
              <w:tabs>
                <w:tab w:val="left" w:pos="53"/>
              </w:tabs>
              <w:suppressAutoHyphens/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15408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</w:tbl>
    <w:p w:rsidR="00E64819" w:rsidRPr="00E64819" w:rsidRDefault="00E64819" w:rsidP="00753132">
      <w:pPr>
        <w:widowControl w:val="0"/>
        <w:suppressAutoHyphens/>
        <w:spacing w:line="240" w:lineRule="auto"/>
        <w:ind w:firstLine="709"/>
        <w:rPr>
          <w:rFonts w:eastAsia="Andale Sans UI" w:cs="Times New Roman"/>
          <w:kern w:val="2"/>
          <w:szCs w:val="28"/>
          <w:lang w:eastAsia="ar-SA"/>
        </w:rPr>
      </w:pPr>
    </w:p>
    <w:p w:rsidR="002669E6" w:rsidRPr="00753132" w:rsidRDefault="002669E6" w:rsidP="00753132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Найдем темп роста рынка (продаж компании) в процентах для каждой товарной группы:</w:t>
      </w:r>
    </w:p>
    <w:p w:rsidR="002669E6" w:rsidRPr="00753132" w:rsidRDefault="002669E6" w:rsidP="00753132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А</w:t>
      </w:r>
      <w:r w:rsidR="00352A78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 xml:space="preserve">= </w:t>
      </w:r>
      <w:r w:rsidR="00352A78">
        <w:rPr>
          <w:rFonts w:eastAsia="Calibri" w:cs="Times New Roman"/>
          <w:szCs w:val="28"/>
        </w:rPr>
        <w:t>24700</w:t>
      </w:r>
      <w:r w:rsidRPr="00753132">
        <w:rPr>
          <w:rFonts w:eastAsia="Calibri" w:cs="Times New Roman"/>
          <w:szCs w:val="28"/>
        </w:rPr>
        <w:t>/</w:t>
      </w:r>
      <w:r w:rsidR="00352A78">
        <w:rPr>
          <w:rFonts w:eastAsia="Calibri" w:cs="Times New Roman"/>
          <w:szCs w:val="28"/>
        </w:rPr>
        <w:t xml:space="preserve">21500 * 100%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114,88%</w:t>
      </w:r>
    </w:p>
    <w:p w:rsidR="002669E6" w:rsidRPr="00753132" w:rsidRDefault="002669E6" w:rsidP="00753132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Б</w:t>
      </w:r>
      <w:r w:rsidR="00352A78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7300</w:t>
      </w:r>
      <w:r w:rsidRPr="00753132">
        <w:rPr>
          <w:rFonts w:eastAsia="Calibri" w:cs="Times New Roman"/>
          <w:szCs w:val="28"/>
        </w:rPr>
        <w:t>/</w:t>
      </w:r>
      <w:r w:rsidR="00352A78">
        <w:rPr>
          <w:rFonts w:eastAsia="Calibri" w:cs="Times New Roman"/>
          <w:szCs w:val="28"/>
        </w:rPr>
        <w:t xml:space="preserve">9200 * 100%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79,35%</w:t>
      </w:r>
    </w:p>
    <w:p w:rsidR="002669E6" w:rsidRPr="00753132" w:rsidRDefault="002669E6" w:rsidP="00352A78">
      <w:pPr>
        <w:widowControl w:val="0"/>
        <w:tabs>
          <w:tab w:val="left" w:pos="53"/>
        </w:tabs>
        <w:suppressAutoHyphens/>
        <w:spacing w:line="240" w:lineRule="auto"/>
        <w:ind w:firstLine="709"/>
        <w:jc w:val="left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В</w:t>
      </w:r>
      <w:r w:rsidR="00352A78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10300</w:t>
      </w:r>
      <w:r w:rsidRPr="00753132">
        <w:rPr>
          <w:rFonts w:eastAsia="Calibri" w:cs="Times New Roman"/>
          <w:szCs w:val="28"/>
        </w:rPr>
        <w:t>/1</w:t>
      </w:r>
      <w:r w:rsidR="00352A78">
        <w:rPr>
          <w:rFonts w:eastAsia="Calibri" w:cs="Times New Roman"/>
          <w:szCs w:val="28"/>
        </w:rPr>
        <w:t>1</w:t>
      </w:r>
      <w:r w:rsidRPr="00753132">
        <w:rPr>
          <w:rFonts w:eastAsia="Calibri" w:cs="Times New Roman"/>
          <w:szCs w:val="28"/>
        </w:rPr>
        <w:t>600</w:t>
      </w:r>
      <w:r w:rsidR="00352A78"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88,79%</w:t>
      </w:r>
    </w:p>
    <w:p w:rsidR="002669E6" w:rsidRPr="00753132" w:rsidRDefault="002669E6" w:rsidP="00753132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Г</w:t>
      </w:r>
      <w:r w:rsidR="00352A78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 w:rsidR="003A6113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4200/4800</w:t>
      </w:r>
      <w:r w:rsidR="00352A78"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</w:t>
      </w:r>
      <w:r w:rsidR="003A6113">
        <w:rPr>
          <w:rFonts w:eastAsia="Calibri" w:cs="Times New Roman"/>
          <w:szCs w:val="28"/>
        </w:rPr>
        <w:t>87,5%</w:t>
      </w:r>
    </w:p>
    <w:p w:rsidR="002669E6" w:rsidRPr="00753132" w:rsidRDefault="002669E6" w:rsidP="00753132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Д</w:t>
      </w:r>
      <w:r w:rsidR="00352A78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7400</w:t>
      </w:r>
      <w:r w:rsidRPr="00753132">
        <w:rPr>
          <w:rFonts w:eastAsia="Calibri" w:cs="Times New Roman"/>
          <w:szCs w:val="28"/>
        </w:rPr>
        <w:t>/</w:t>
      </w:r>
      <w:r w:rsidR="00352A78">
        <w:rPr>
          <w:rFonts w:eastAsia="Calibri" w:cs="Times New Roman"/>
          <w:szCs w:val="28"/>
        </w:rPr>
        <w:t>8</w:t>
      </w:r>
      <w:r w:rsidRPr="00753132">
        <w:rPr>
          <w:rFonts w:eastAsia="Calibri" w:cs="Times New Roman"/>
          <w:szCs w:val="28"/>
        </w:rPr>
        <w:t>000</w:t>
      </w:r>
      <w:r w:rsidR="00352A78"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92,5%</w:t>
      </w:r>
    </w:p>
    <w:p w:rsidR="002669E6" w:rsidRDefault="002669E6" w:rsidP="00753132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Е</w:t>
      </w:r>
      <w:r w:rsidR="00352A78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4000/5000</w:t>
      </w:r>
      <w:r w:rsidR="00352A78"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 w:rsidR="00352A78">
        <w:rPr>
          <w:rFonts w:eastAsia="Calibri" w:cs="Times New Roman"/>
          <w:szCs w:val="28"/>
        </w:rPr>
        <w:t xml:space="preserve"> 80%</w:t>
      </w:r>
    </w:p>
    <w:p w:rsidR="009A074A" w:rsidRPr="00753132" w:rsidRDefault="009A074A" w:rsidP="00753132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Ж = 15000/13200 * 100% = 113,64%</w:t>
      </w:r>
    </w:p>
    <w:p w:rsidR="003A6113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</w:p>
    <w:p w:rsidR="0003754E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 xml:space="preserve">Найдем </w:t>
      </w:r>
      <w:r>
        <w:rPr>
          <w:rFonts w:eastAsia="Calibri" w:cs="Times New Roman"/>
          <w:szCs w:val="28"/>
        </w:rPr>
        <w:t xml:space="preserve">относительную долю рынка </w:t>
      </w:r>
      <w:r w:rsidRPr="00753132">
        <w:rPr>
          <w:rFonts w:eastAsia="Calibri" w:cs="Times New Roman"/>
          <w:szCs w:val="28"/>
        </w:rPr>
        <w:t>для каждой товарной группы:</w:t>
      </w:r>
    </w:p>
    <w:p w:rsidR="003A6113" w:rsidRPr="00753132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А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 xml:space="preserve">= </w:t>
      </w:r>
      <w:r>
        <w:rPr>
          <w:rFonts w:eastAsia="Calibri" w:cs="Times New Roman"/>
          <w:szCs w:val="28"/>
        </w:rPr>
        <w:t>24700</w:t>
      </w:r>
      <w:r w:rsidRPr="00753132">
        <w:rPr>
          <w:rFonts w:eastAsia="Calibri" w:cs="Times New Roman"/>
          <w:szCs w:val="28"/>
        </w:rPr>
        <w:t>/</w:t>
      </w:r>
      <w:r w:rsidR="00253A46">
        <w:rPr>
          <w:rFonts w:eastAsia="Calibri" w:cs="Times New Roman"/>
          <w:szCs w:val="28"/>
        </w:rPr>
        <w:t>14200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53A46">
        <w:rPr>
          <w:rFonts w:eastAsia="Calibri" w:cs="Times New Roman"/>
          <w:szCs w:val="28"/>
        </w:rPr>
        <w:t>1,7394 (173,94</w:t>
      </w:r>
      <w:r>
        <w:rPr>
          <w:rFonts w:eastAsia="Calibri" w:cs="Times New Roman"/>
          <w:szCs w:val="28"/>
        </w:rPr>
        <w:t>%</w:t>
      </w:r>
      <w:r w:rsidR="00253A46">
        <w:rPr>
          <w:rFonts w:eastAsia="Calibri" w:cs="Times New Roman"/>
          <w:szCs w:val="28"/>
        </w:rPr>
        <w:t>)</w:t>
      </w:r>
    </w:p>
    <w:p w:rsidR="003A6113" w:rsidRPr="00753132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Б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7300</w:t>
      </w:r>
      <w:r w:rsidRPr="00753132">
        <w:rPr>
          <w:rFonts w:eastAsia="Calibri" w:cs="Times New Roman"/>
          <w:szCs w:val="28"/>
        </w:rPr>
        <w:t>/</w:t>
      </w:r>
      <w:r w:rsidR="00253A46">
        <w:rPr>
          <w:rFonts w:eastAsia="Calibri" w:cs="Times New Roman"/>
          <w:szCs w:val="28"/>
        </w:rPr>
        <w:t>14000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53A46">
        <w:rPr>
          <w:rFonts w:eastAsia="Calibri" w:cs="Times New Roman"/>
          <w:szCs w:val="28"/>
        </w:rPr>
        <w:t>0,5214 (52,14</w:t>
      </w:r>
      <w:r>
        <w:rPr>
          <w:rFonts w:eastAsia="Calibri" w:cs="Times New Roman"/>
          <w:szCs w:val="28"/>
        </w:rPr>
        <w:t>%</w:t>
      </w:r>
      <w:r w:rsidR="00253A46">
        <w:rPr>
          <w:rFonts w:eastAsia="Calibri" w:cs="Times New Roman"/>
          <w:szCs w:val="28"/>
        </w:rPr>
        <w:t>)</w:t>
      </w:r>
    </w:p>
    <w:p w:rsidR="003A6113" w:rsidRPr="00753132" w:rsidRDefault="003A6113" w:rsidP="003A6113">
      <w:pPr>
        <w:widowControl w:val="0"/>
        <w:tabs>
          <w:tab w:val="left" w:pos="53"/>
        </w:tabs>
        <w:suppressAutoHyphens/>
        <w:spacing w:line="240" w:lineRule="auto"/>
        <w:ind w:firstLine="709"/>
        <w:jc w:val="left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10300</w:t>
      </w:r>
      <w:r w:rsidRPr="00753132">
        <w:rPr>
          <w:rFonts w:eastAsia="Calibri" w:cs="Times New Roman"/>
          <w:szCs w:val="28"/>
        </w:rPr>
        <w:t>/</w:t>
      </w:r>
      <w:r w:rsidR="00253A46">
        <w:rPr>
          <w:rFonts w:eastAsia="Calibri" w:cs="Times New Roman"/>
          <w:szCs w:val="28"/>
        </w:rPr>
        <w:t>6500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305684">
        <w:rPr>
          <w:rFonts w:eastAsia="Calibri" w:cs="Times New Roman"/>
          <w:szCs w:val="28"/>
        </w:rPr>
        <w:t>1,5846 (</w:t>
      </w:r>
      <w:r w:rsidR="00253A46">
        <w:rPr>
          <w:rFonts w:eastAsia="Calibri" w:cs="Times New Roman"/>
          <w:szCs w:val="28"/>
        </w:rPr>
        <w:t>158,46</w:t>
      </w:r>
      <w:r>
        <w:rPr>
          <w:rFonts w:eastAsia="Calibri" w:cs="Times New Roman"/>
          <w:szCs w:val="28"/>
        </w:rPr>
        <w:t>%</w:t>
      </w:r>
      <w:r w:rsidR="00253A46">
        <w:rPr>
          <w:rFonts w:eastAsia="Calibri" w:cs="Times New Roman"/>
          <w:szCs w:val="28"/>
        </w:rPr>
        <w:t>)</w:t>
      </w:r>
    </w:p>
    <w:p w:rsidR="003A6113" w:rsidRPr="00753132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Г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4200/</w:t>
      </w:r>
      <w:r w:rsidR="00253A46">
        <w:rPr>
          <w:rFonts w:eastAsia="Calibri" w:cs="Times New Roman"/>
          <w:szCs w:val="28"/>
        </w:rPr>
        <w:t>4500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305684">
        <w:rPr>
          <w:rFonts w:eastAsia="Calibri" w:cs="Times New Roman"/>
          <w:szCs w:val="28"/>
        </w:rPr>
        <w:t>0,9333 (</w:t>
      </w:r>
      <w:r w:rsidR="00253A46">
        <w:rPr>
          <w:rFonts w:eastAsia="Calibri" w:cs="Times New Roman"/>
          <w:szCs w:val="28"/>
        </w:rPr>
        <w:t>93,33</w:t>
      </w:r>
      <w:r>
        <w:rPr>
          <w:rFonts w:eastAsia="Calibri" w:cs="Times New Roman"/>
          <w:szCs w:val="28"/>
        </w:rPr>
        <w:t>%</w:t>
      </w:r>
      <w:r w:rsidR="00253A46">
        <w:rPr>
          <w:rFonts w:eastAsia="Calibri" w:cs="Times New Roman"/>
          <w:szCs w:val="28"/>
        </w:rPr>
        <w:t>)</w:t>
      </w:r>
    </w:p>
    <w:p w:rsidR="003A6113" w:rsidRPr="00753132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Д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7400</w:t>
      </w:r>
      <w:r w:rsidRPr="00753132">
        <w:rPr>
          <w:rFonts w:eastAsia="Calibri" w:cs="Times New Roman"/>
          <w:szCs w:val="28"/>
        </w:rPr>
        <w:t>/</w:t>
      </w:r>
      <w:r w:rsidR="00253A46">
        <w:rPr>
          <w:rFonts w:eastAsia="Calibri" w:cs="Times New Roman"/>
          <w:szCs w:val="28"/>
        </w:rPr>
        <w:t>11500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305684">
        <w:rPr>
          <w:rFonts w:eastAsia="Calibri" w:cs="Times New Roman"/>
          <w:szCs w:val="28"/>
        </w:rPr>
        <w:t>0,6435 (</w:t>
      </w:r>
      <w:r w:rsidR="00253A46">
        <w:rPr>
          <w:rFonts w:eastAsia="Calibri" w:cs="Times New Roman"/>
          <w:szCs w:val="28"/>
        </w:rPr>
        <w:t>64,35</w:t>
      </w:r>
      <w:r>
        <w:rPr>
          <w:rFonts w:eastAsia="Calibri" w:cs="Times New Roman"/>
          <w:szCs w:val="28"/>
        </w:rPr>
        <w:t>%</w:t>
      </w:r>
      <w:r w:rsidR="00253A46">
        <w:rPr>
          <w:rFonts w:eastAsia="Calibri" w:cs="Times New Roman"/>
          <w:szCs w:val="28"/>
        </w:rPr>
        <w:t>)</w:t>
      </w:r>
    </w:p>
    <w:p w:rsidR="003A6113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53A46">
        <w:rPr>
          <w:rFonts w:eastAsia="Calibri" w:cs="Times New Roman"/>
          <w:szCs w:val="28"/>
        </w:rPr>
        <w:t>4000/3</w:t>
      </w:r>
      <w:r w:rsidRPr="00753132">
        <w:rPr>
          <w:rFonts w:eastAsia="Calibri" w:cs="Times New Roman"/>
          <w:szCs w:val="28"/>
        </w:rPr>
        <w:t>000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305684">
        <w:rPr>
          <w:rFonts w:eastAsia="Calibri" w:cs="Times New Roman"/>
          <w:szCs w:val="28"/>
        </w:rPr>
        <w:t>1,3333 (</w:t>
      </w:r>
      <w:r w:rsidR="00253A46">
        <w:rPr>
          <w:rFonts w:eastAsia="Calibri" w:cs="Times New Roman"/>
          <w:szCs w:val="28"/>
        </w:rPr>
        <w:t>133,33</w:t>
      </w:r>
      <w:r>
        <w:rPr>
          <w:rFonts w:eastAsia="Calibri" w:cs="Times New Roman"/>
          <w:szCs w:val="28"/>
        </w:rPr>
        <w:t>%</w:t>
      </w:r>
      <w:r w:rsidR="00253A46">
        <w:rPr>
          <w:rFonts w:eastAsia="Calibri" w:cs="Times New Roman"/>
          <w:szCs w:val="28"/>
        </w:rPr>
        <w:t>)</w:t>
      </w:r>
    </w:p>
    <w:p w:rsidR="004A2440" w:rsidRDefault="004A2440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Ж = 15000/12000 = 1,25 (125,00%)</w:t>
      </w:r>
    </w:p>
    <w:p w:rsidR="00433B34" w:rsidRDefault="00433B34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</w:p>
    <w:p w:rsidR="00433B34" w:rsidRDefault="00433B34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Рассчитаем</w:t>
      </w:r>
      <w:r w:rsidRPr="0075313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долю прибыли </w:t>
      </w:r>
      <w:r w:rsidRPr="00753132">
        <w:rPr>
          <w:rFonts w:eastAsia="Calibri" w:cs="Times New Roman"/>
          <w:szCs w:val="28"/>
        </w:rPr>
        <w:t>для каждой товарной группы</w:t>
      </w:r>
      <w:r>
        <w:rPr>
          <w:rFonts w:eastAsia="Calibri" w:cs="Times New Roman"/>
          <w:szCs w:val="28"/>
        </w:rPr>
        <w:t xml:space="preserve"> в общей сумме </w:t>
      </w:r>
      <w:r>
        <w:rPr>
          <w:rFonts w:eastAsia="Calibri" w:cs="Times New Roman"/>
          <w:szCs w:val="28"/>
        </w:rPr>
        <w:lastRenderedPageBreak/>
        <w:t>прибыли</w:t>
      </w:r>
      <w:r w:rsidRPr="00753132">
        <w:rPr>
          <w:rFonts w:eastAsia="Calibri" w:cs="Times New Roman"/>
          <w:szCs w:val="28"/>
        </w:rPr>
        <w:t>:</w:t>
      </w:r>
    </w:p>
    <w:p w:rsidR="00433B34" w:rsidRPr="00753132" w:rsidRDefault="00433B34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А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 xml:space="preserve">= </w:t>
      </w:r>
      <w:r>
        <w:rPr>
          <w:rFonts w:eastAsia="Calibri" w:cs="Times New Roman"/>
          <w:szCs w:val="28"/>
        </w:rPr>
        <w:t>9200</w:t>
      </w:r>
      <w:r w:rsidRPr="00753132">
        <w:rPr>
          <w:rFonts w:eastAsia="Calibri" w:cs="Times New Roman"/>
          <w:szCs w:val="28"/>
        </w:rPr>
        <w:t>/</w:t>
      </w:r>
      <w:r w:rsidR="002942DA">
        <w:rPr>
          <w:rFonts w:eastAsia="Calibri" w:cs="Times New Roman"/>
          <w:szCs w:val="28"/>
        </w:rPr>
        <w:t>24100</w:t>
      </w:r>
      <w:r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942DA">
        <w:rPr>
          <w:rFonts w:eastAsia="Calibri" w:cs="Times New Roman"/>
          <w:szCs w:val="28"/>
        </w:rPr>
        <w:t>38,17</w:t>
      </w:r>
      <w:r>
        <w:rPr>
          <w:rFonts w:eastAsia="Calibri" w:cs="Times New Roman"/>
          <w:szCs w:val="28"/>
        </w:rPr>
        <w:t>%</w:t>
      </w:r>
    </w:p>
    <w:p w:rsidR="00433B34" w:rsidRPr="00753132" w:rsidRDefault="00433B34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Б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2700</w:t>
      </w:r>
      <w:r w:rsidRPr="00753132">
        <w:rPr>
          <w:rFonts w:eastAsia="Calibri" w:cs="Times New Roman"/>
          <w:szCs w:val="28"/>
        </w:rPr>
        <w:t>/</w:t>
      </w:r>
      <w:r w:rsidR="002942DA">
        <w:rPr>
          <w:rFonts w:eastAsia="Calibri" w:cs="Times New Roman"/>
          <w:szCs w:val="28"/>
        </w:rPr>
        <w:t>24100</w:t>
      </w:r>
      <w:r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942DA">
        <w:rPr>
          <w:rFonts w:eastAsia="Calibri" w:cs="Times New Roman"/>
          <w:szCs w:val="28"/>
        </w:rPr>
        <w:t>11,20</w:t>
      </w:r>
      <w:r>
        <w:rPr>
          <w:rFonts w:eastAsia="Calibri" w:cs="Times New Roman"/>
          <w:szCs w:val="28"/>
        </w:rPr>
        <w:t>%</w:t>
      </w:r>
    </w:p>
    <w:p w:rsidR="00433B34" w:rsidRPr="00753132" w:rsidRDefault="00433B34" w:rsidP="00433B34">
      <w:pPr>
        <w:widowControl w:val="0"/>
        <w:tabs>
          <w:tab w:val="left" w:pos="53"/>
        </w:tabs>
        <w:suppressAutoHyphens/>
        <w:spacing w:line="240" w:lineRule="auto"/>
        <w:ind w:firstLine="709"/>
        <w:jc w:val="left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В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3400</w:t>
      </w:r>
      <w:r w:rsidRPr="00753132">
        <w:rPr>
          <w:rFonts w:eastAsia="Calibri" w:cs="Times New Roman"/>
          <w:szCs w:val="28"/>
        </w:rPr>
        <w:t>/</w:t>
      </w:r>
      <w:r w:rsidR="002942DA">
        <w:rPr>
          <w:rFonts w:eastAsia="Calibri" w:cs="Times New Roman"/>
          <w:szCs w:val="28"/>
        </w:rPr>
        <w:t>24100</w:t>
      </w:r>
      <w:r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942DA">
        <w:rPr>
          <w:rFonts w:eastAsia="Calibri" w:cs="Times New Roman"/>
          <w:szCs w:val="28"/>
        </w:rPr>
        <w:t>14,11</w:t>
      </w:r>
      <w:r>
        <w:rPr>
          <w:rFonts w:eastAsia="Calibri" w:cs="Times New Roman"/>
          <w:szCs w:val="28"/>
        </w:rPr>
        <w:t>%</w:t>
      </w:r>
    </w:p>
    <w:p w:rsidR="00433B34" w:rsidRPr="00753132" w:rsidRDefault="00433B34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Г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1100</w:t>
      </w:r>
      <w:r w:rsidRPr="00753132">
        <w:rPr>
          <w:rFonts w:eastAsia="Calibri" w:cs="Times New Roman"/>
          <w:szCs w:val="28"/>
        </w:rPr>
        <w:t>/</w:t>
      </w:r>
      <w:r w:rsidR="002942DA">
        <w:rPr>
          <w:rFonts w:eastAsia="Calibri" w:cs="Times New Roman"/>
          <w:szCs w:val="28"/>
        </w:rPr>
        <w:t>24100</w:t>
      </w:r>
      <w:r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942DA">
        <w:rPr>
          <w:rFonts w:eastAsia="Calibri" w:cs="Times New Roman"/>
          <w:szCs w:val="28"/>
        </w:rPr>
        <w:t>4,56</w:t>
      </w:r>
      <w:r>
        <w:rPr>
          <w:rFonts w:eastAsia="Calibri" w:cs="Times New Roman"/>
          <w:szCs w:val="28"/>
        </w:rPr>
        <w:t>%</w:t>
      </w:r>
    </w:p>
    <w:p w:rsidR="00433B34" w:rsidRPr="00753132" w:rsidRDefault="00433B34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Д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2900</w:t>
      </w:r>
      <w:r w:rsidRPr="00753132">
        <w:rPr>
          <w:rFonts w:eastAsia="Calibri" w:cs="Times New Roman"/>
          <w:szCs w:val="28"/>
        </w:rPr>
        <w:t>/</w:t>
      </w:r>
      <w:r w:rsidR="002942DA">
        <w:rPr>
          <w:rFonts w:eastAsia="Calibri" w:cs="Times New Roman"/>
          <w:szCs w:val="28"/>
        </w:rPr>
        <w:t>24100</w:t>
      </w:r>
      <w:r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942DA">
        <w:rPr>
          <w:rFonts w:eastAsia="Calibri" w:cs="Times New Roman"/>
          <w:szCs w:val="28"/>
        </w:rPr>
        <w:t>12,03</w:t>
      </w:r>
      <w:r>
        <w:rPr>
          <w:rFonts w:eastAsia="Calibri" w:cs="Times New Roman"/>
          <w:szCs w:val="28"/>
        </w:rPr>
        <w:t>%</w:t>
      </w:r>
    </w:p>
    <w:p w:rsidR="00433B34" w:rsidRDefault="00433B34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 w:rsidRPr="00753132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1600/</w:t>
      </w:r>
      <w:r w:rsidR="002942DA">
        <w:rPr>
          <w:rFonts w:eastAsia="Calibri" w:cs="Times New Roman"/>
          <w:szCs w:val="28"/>
        </w:rPr>
        <w:t>24100</w:t>
      </w:r>
      <w:r>
        <w:rPr>
          <w:rFonts w:eastAsia="Calibri" w:cs="Times New Roman"/>
          <w:szCs w:val="28"/>
        </w:rPr>
        <w:t xml:space="preserve"> * 100% </w:t>
      </w:r>
      <w:r w:rsidRPr="00753132">
        <w:rPr>
          <w:rFonts w:eastAsia="Calibri" w:cs="Times New Roman"/>
          <w:szCs w:val="28"/>
        </w:rPr>
        <w:t>=</w:t>
      </w:r>
      <w:r>
        <w:rPr>
          <w:rFonts w:eastAsia="Calibri" w:cs="Times New Roman"/>
          <w:szCs w:val="28"/>
        </w:rPr>
        <w:t xml:space="preserve"> </w:t>
      </w:r>
      <w:r w:rsidR="002942DA">
        <w:rPr>
          <w:rFonts w:eastAsia="Calibri" w:cs="Times New Roman"/>
          <w:szCs w:val="28"/>
        </w:rPr>
        <w:t>6,64</w:t>
      </w:r>
      <w:r>
        <w:rPr>
          <w:rFonts w:eastAsia="Calibri" w:cs="Times New Roman"/>
          <w:szCs w:val="28"/>
        </w:rPr>
        <w:t>%</w:t>
      </w:r>
    </w:p>
    <w:p w:rsidR="002942DA" w:rsidRDefault="002942DA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Ж = 3200/24100 * 100% = 13,28%</w:t>
      </w:r>
    </w:p>
    <w:p w:rsidR="00433B34" w:rsidRDefault="00433B34" w:rsidP="00433B34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</w:p>
    <w:p w:rsidR="00433B34" w:rsidRDefault="006900FC" w:rsidP="003A6113">
      <w:pPr>
        <w:widowControl w:val="0"/>
        <w:suppressAutoHyphens/>
        <w:spacing w:line="240" w:lineRule="auto"/>
        <w:ind w:firstLine="709"/>
      </w:pPr>
      <w:r>
        <w:t>Теперь необходимо построить матрицу БКГ.</w:t>
      </w:r>
    </w:p>
    <w:p w:rsidR="006900FC" w:rsidRDefault="00C8154C" w:rsidP="003A6113">
      <w:pPr>
        <w:widowControl w:val="0"/>
        <w:suppressAutoHyphens/>
        <w:spacing w:line="240" w:lineRule="auto"/>
        <w:ind w:firstLine="709"/>
      </w:pPr>
      <w:r>
        <w:t>Полученное поле матрицы разделяется горизонтальной и вертикальной линиями на четыре квадранта.</w:t>
      </w:r>
    </w:p>
    <w:p w:rsidR="00C8154C" w:rsidRDefault="00C8154C" w:rsidP="00C8154C">
      <w:pPr>
        <w:widowControl w:val="0"/>
        <w:suppressAutoHyphens/>
        <w:spacing w:line="240" w:lineRule="auto"/>
        <w:ind w:firstLine="0"/>
        <w:rPr>
          <w:rFonts w:eastAsia="Andale Sans UI" w:cs="Times New Roman"/>
          <w:kern w:val="2"/>
          <w:szCs w:val="28"/>
          <w:lang w:eastAsia="ar-SA"/>
        </w:rPr>
      </w:pPr>
      <w:r>
        <w:t xml:space="preserve">Горизонтальная линия матрицы БКГ задана условиями задачи. </w:t>
      </w:r>
      <w:r w:rsidRPr="002D45F7">
        <w:rPr>
          <w:rFonts w:eastAsia="Andale Sans UI" w:cs="Times New Roman"/>
          <w:kern w:val="2"/>
          <w:szCs w:val="28"/>
          <w:lang w:eastAsia="ar-SA"/>
        </w:rPr>
        <w:t>Темп прироста рынка – 10%</w:t>
      </w:r>
      <w:r w:rsidR="000F7179">
        <w:rPr>
          <w:rFonts w:eastAsia="Andale Sans UI" w:cs="Times New Roman"/>
          <w:kern w:val="2"/>
          <w:szCs w:val="28"/>
          <w:lang w:eastAsia="ar-SA"/>
        </w:rPr>
        <w:t xml:space="preserve">, следовательно, </w:t>
      </w:r>
      <w:r w:rsidR="000F7179">
        <w:t>горизонтальная линия проводится на уровне 110% (100%+10%).</w:t>
      </w:r>
    </w:p>
    <w:p w:rsidR="00C8154C" w:rsidRDefault="00C8154C" w:rsidP="003A6113">
      <w:pPr>
        <w:widowControl w:val="0"/>
        <w:suppressAutoHyphens/>
        <w:spacing w:line="240" w:lineRule="auto"/>
        <w:ind w:firstLine="709"/>
      </w:pPr>
      <w:r>
        <w:t>Рынки</w:t>
      </w:r>
      <w:r w:rsidR="000F7179">
        <w:t>,</w:t>
      </w:r>
      <w:r>
        <w:t xml:space="preserve"> характеризующиеся темпами роста свыше 10 %</w:t>
      </w:r>
      <w:r w:rsidR="000F7179">
        <w:t>,</w:t>
      </w:r>
      <w:r>
        <w:t xml:space="preserve"> рассматриваются как быстрорастущие, ниже – медленно растущие в среднем по рынку. </w:t>
      </w:r>
    </w:p>
    <w:p w:rsidR="000F7179" w:rsidRDefault="000F7179" w:rsidP="003A6113">
      <w:pPr>
        <w:widowControl w:val="0"/>
        <w:suppressAutoHyphens/>
        <w:spacing w:line="240" w:lineRule="auto"/>
        <w:ind w:firstLine="709"/>
      </w:pPr>
      <w:r>
        <w:t>Вертикальная линия проходит через показатель ОДР =1</w:t>
      </w:r>
      <w:r w:rsidR="00336C8F">
        <w:t xml:space="preserve"> (100%)</w:t>
      </w:r>
      <w:r>
        <w:t>. Коэффициент 1,0</w:t>
      </w:r>
      <w:r w:rsidR="004E7C49">
        <w:t xml:space="preserve"> (100%)</w:t>
      </w:r>
      <w:r>
        <w:t xml:space="preserve"> показывает, что предприятие близ</w:t>
      </w:r>
      <w:r w:rsidR="004E7C49">
        <w:t xml:space="preserve">ко к лидерству: его доля равна </w:t>
      </w:r>
      <w:r>
        <w:t>доле сильнейшего конкурента. Коэффициент выше 1</w:t>
      </w:r>
      <w:r w:rsidR="004E7C49">
        <w:t xml:space="preserve"> (100%)</w:t>
      </w:r>
      <w:r>
        <w:t xml:space="preserve"> говорит о лидирующей позиции продукта предприятия в отрасли. С этой точки зрения левая сторона матрицы выделяет лидирующие в отрасли виды продукции предприятия, правая – отстающие.</w:t>
      </w:r>
    </w:p>
    <w:p w:rsidR="00E00B84" w:rsidRPr="00753132" w:rsidRDefault="00E00B84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  <w:r>
        <w:t>Площадь круга пропорциональна доли прибыли, п</w:t>
      </w:r>
      <w:r w:rsidR="00F75C3E">
        <w:t>риходящейся на данную продукцию, т.е. чем больше доля прибыли, тем площадь круга больше.</w:t>
      </w:r>
    </w:p>
    <w:p w:rsidR="003A6113" w:rsidRDefault="003A6113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</w:p>
    <w:p w:rsidR="006F1806" w:rsidRDefault="006F1806" w:rsidP="006F1806">
      <w:pPr>
        <w:widowControl w:val="0"/>
        <w:suppressAutoHyphens/>
        <w:spacing w:line="240" w:lineRule="auto"/>
        <w:ind w:firstLine="0"/>
        <w:jc w:val="center"/>
        <w:rPr>
          <w:rFonts w:eastAsia="Calibri"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6E7CD878" wp14:editId="2B408D8A">
            <wp:extent cx="5743574" cy="3406140"/>
            <wp:effectExtent l="0" t="0" r="1016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4A84" w:rsidRDefault="00BC4A84" w:rsidP="003A6113">
      <w:pPr>
        <w:widowControl w:val="0"/>
        <w:suppressAutoHyphens/>
        <w:spacing w:line="240" w:lineRule="auto"/>
        <w:ind w:firstLine="0"/>
        <w:rPr>
          <w:rFonts w:eastAsia="Calibri" w:cs="Times New Roman"/>
          <w:szCs w:val="28"/>
        </w:rPr>
      </w:pPr>
    </w:p>
    <w:p w:rsidR="00BC4A84" w:rsidRDefault="00BC4A84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</w:p>
    <w:p w:rsidR="00BC4A84" w:rsidRPr="00BC4A84" w:rsidRDefault="00BC4A84" w:rsidP="00BC4A84">
      <w:pPr>
        <w:shd w:val="clear" w:color="auto" w:fill="FFFFFF"/>
        <w:spacing w:before="192" w:after="192" w:line="240" w:lineRule="auto"/>
        <w:ind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color w:val="000000"/>
          <w:szCs w:val="28"/>
          <w:lang w:eastAsia="ru-RU"/>
        </w:rPr>
        <w:t>Теперь можно проанализировать получившуюся матрицу. Товары, согласно своему положению на координатах матрицы, делятся на категории следующим образом:</w:t>
      </w:r>
    </w:p>
    <w:p w:rsidR="00BC4A84" w:rsidRPr="00BC4A84" w:rsidRDefault="00BC4A84" w:rsidP="00BC4A84">
      <w:pPr>
        <w:numPr>
          <w:ilvl w:val="0"/>
          <w:numId w:val="1"/>
        </w:numPr>
        <w:shd w:val="clear" w:color="auto" w:fill="FFFFFF"/>
        <w:spacing w:line="240" w:lineRule="auto"/>
        <w:ind w:left="168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«Собаки»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 — нижняя левая четверть;</w:t>
      </w:r>
    </w:p>
    <w:p w:rsidR="00BC4A84" w:rsidRPr="00BC4A84" w:rsidRDefault="00BC4A84" w:rsidP="00BC4A84">
      <w:pPr>
        <w:numPr>
          <w:ilvl w:val="0"/>
          <w:numId w:val="1"/>
        </w:numPr>
        <w:shd w:val="clear" w:color="auto" w:fill="FFFFFF"/>
        <w:spacing w:line="240" w:lineRule="auto"/>
        <w:ind w:left="168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«Трудные дети»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 — верхняя левая четверть;</w:t>
      </w:r>
    </w:p>
    <w:p w:rsidR="00BC4A84" w:rsidRPr="00BC4A84" w:rsidRDefault="00BC4A84" w:rsidP="00BC4A84">
      <w:pPr>
        <w:numPr>
          <w:ilvl w:val="0"/>
          <w:numId w:val="1"/>
        </w:numPr>
        <w:shd w:val="clear" w:color="auto" w:fill="FFFFFF"/>
        <w:spacing w:line="240" w:lineRule="auto"/>
        <w:ind w:left="168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«Дойные коровы»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 — нижняя правая четверть;</w:t>
      </w:r>
    </w:p>
    <w:p w:rsidR="00BC4A84" w:rsidRPr="00BC4A84" w:rsidRDefault="00BC4A84" w:rsidP="00BC4A84">
      <w:pPr>
        <w:numPr>
          <w:ilvl w:val="0"/>
          <w:numId w:val="1"/>
        </w:numPr>
        <w:shd w:val="clear" w:color="auto" w:fill="FFFFFF"/>
        <w:spacing w:line="240" w:lineRule="auto"/>
        <w:ind w:left="168"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«Звезды»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 — верхняя правая четверть.</w:t>
      </w:r>
    </w:p>
    <w:p w:rsidR="00BC4A84" w:rsidRPr="00BC4A84" w:rsidRDefault="00BC4A84" w:rsidP="00BC4A84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color w:val="000000"/>
          <w:szCs w:val="28"/>
          <w:lang w:eastAsia="ru-RU"/>
        </w:rPr>
        <w:t>Таким образом, 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Б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, 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Г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3878F2" w:rsidRPr="00BC4A84">
        <w:rPr>
          <w:rFonts w:eastAsia="Times New Roman" w:cs="Times New Roman"/>
          <w:color w:val="000000"/>
          <w:szCs w:val="28"/>
          <w:lang w:eastAsia="ru-RU"/>
        </w:rPr>
        <w:t>и </w:t>
      </w:r>
      <w:r w:rsidR="003878F2"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Д</w:t>
      </w:r>
      <w:r w:rsidR="003878F2"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 относятся к 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«Собакам»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. Это означает, что их производство нужно сворачивать.</w:t>
      </w:r>
    </w:p>
    <w:p w:rsidR="00BC4A84" w:rsidRPr="00BC4A84" w:rsidRDefault="00BC4A84" w:rsidP="00BC4A84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В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 и 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Е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 — это 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«Дойные коровы»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. Данная группа товаров уже не требует значительных вложений, а выручку от их реализации можно направить на развитие других групп.</w:t>
      </w:r>
    </w:p>
    <w:p w:rsidR="00BC4A84" w:rsidRPr="00BC4A84" w:rsidRDefault="00BC4A84" w:rsidP="00B77ED8">
      <w:pPr>
        <w:shd w:val="clear" w:color="auto" w:fill="FFFFFF"/>
        <w:spacing w:line="240" w:lineRule="auto"/>
        <w:ind w:firstLine="709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r w:rsidR="003878F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А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="006F180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F1806" w:rsidRPr="006F1806">
        <w:rPr>
          <w:rFonts w:eastAsia="Times New Roman" w:cs="Times New Roman"/>
          <w:bCs/>
          <w:color w:val="000000"/>
          <w:szCs w:val="28"/>
          <w:bdr w:val="none" w:sz="0" w:space="0" w:color="auto" w:frame="1"/>
          <w:lang w:eastAsia="ru-RU"/>
        </w:rPr>
        <w:t>и</w:t>
      </w:r>
      <w:r w:rsidR="006F180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F1806"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</w:t>
      </w:r>
      <w:r w:rsidR="006F1806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Ж</w:t>
      </w:r>
      <w:r w:rsidR="006F1806"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»</w:t>
      </w:r>
      <w:r w:rsidR="006F1806" w:rsidRPr="00BC4A84">
        <w:rPr>
          <w:rFonts w:eastAsia="Times New Roman" w:cs="Times New Roman"/>
          <w:color w:val="000000"/>
          <w:szCs w:val="28"/>
          <w:lang w:eastAsia="ru-RU"/>
        </w:rPr>
        <w:t> </w:t>
      </w:r>
      <w:r w:rsidRPr="00BC4A84">
        <w:rPr>
          <w:rFonts w:eastAsia="Times New Roman" w:cs="Times New Roman"/>
          <w:color w:val="000000"/>
          <w:szCs w:val="28"/>
          <w:lang w:eastAsia="ru-RU"/>
        </w:rPr>
        <w:t>относ</w:t>
      </w:r>
      <w:r w:rsidR="006F1806">
        <w:rPr>
          <w:rFonts w:eastAsia="Times New Roman" w:cs="Times New Roman"/>
          <w:color w:val="000000"/>
          <w:szCs w:val="28"/>
          <w:lang w:eastAsia="ru-RU"/>
        </w:rPr>
        <w:t>я</w:t>
      </w:r>
      <w:r w:rsidRPr="00BC4A84">
        <w:rPr>
          <w:rFonts w:eastAsia="Times New Roman" w:cs="Times New Roman"/>
          <w:color w:val="000000"/>
          <w:szCs w:val="28"/>
          <w:lang w:eastAsia="ru-RU"/>
        </w:rPr>
        <w:t>тся к группе </w:t>
      </w:r>
      <w:r w:rsidRPr="00BC4A84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«Звёзд»</w:t>
      </w:r>
      <w:r w:rsidRPr="00BC4A84">
        <w:rPr>
          <w:rFonts w:eastAsia="Times New Roman" w:cs="Times New Roman"/>
          <w:color w:val="000000"/>
          <w:szCs w:val="28"/>
          <w:lang w:eastAsia="ru-RU"/>
        </w:rPr>
        <w:t>. Он</w:t>
      </w:r>
      <w:r w:rsidR="006F1806">
        <w:rPr>
          <w:rFonts w:eastAsia="Times New Roman" w:cs="Times New Roman"/>
          <w:color w:val="000000"/>
          <w:szCs w:val="28"/>
          <w:lang w:eastAsia="ru-RU"/>
        </w:rPr>
        <w:t>и</w:t>
      </w:r>
      <w:r w:rsidRPr="00BC4A84">
        <w:rPr>
          <w:rFonts w:eastAsia="Times New Roman" w:cs="Times New Roman"/>
          <w:color w:val="000000"/>
          <w:szCs w:val="28"/>
          <w:lang w:eastAsia="ru-RU"/>
        </w:rPr>
        <w:t xml:space="preserve"> уже принос</w:t>
      </w:r>
      <w:r w:rsidR="006F1806">
        <w:rPr>
          <w:rFonts w:eastAsia="Times New Roman" w:cs="Times New Roman"/>
          <w:color w:val="000000"/>
          <w:szCs w:val="28"/>
          <w:lang w:eastAsia="ru-RU"/>
        </w:rPr>
        <w:t>я</w:t>
      </w:r>
      <w:r w:rsidRPr="00BC4A84">
        <w:rPr>
          <w:rFonts w:eastAsia="Times New Roman" w:cs="Times New Roman"/>
          <w:color w:val="000000"/>
          <w:szCs w:val="28"/>
          <w:lang w:eastAsia="ru-RU"/>
        </w:rPr>
        <w:t>т прибыль, но дополнительные вложения денежных средств способны увеличить размер дохода.</w:t>
      </w:r>
    </w:p>
    <w:p w:rsidR="00BC4A84" w:rsidRPr="003A6113" w:rsidRDefault="00BC4A84" w:rsidP="003A6113">
      <w:pPr>
        <w:widowControl w:val="0"/>
        <w:suppressAutoHyphens/>
        <w:spacing w:line="240" w:lineRule="auto"/>
        <w:ind w:firstLine="709"/>
        <w:rPr>
          <w:rFonts w:eastAsia="Calibri" w:cs="Times New Roman"/>
          <w:szCs w:val="28"/>
        </w:rPr>
      </w:pPr>
    </w:p>
    <w:p w:rsidR="00287FAC" w:rsidRDefault="00287FAC" w:rsidP="00287FAC">
      <w:pPr>
        <w:autoSpaceDE w:val="0"/>
        <w:autoSpaceDN w:val="0"/>
        <w:spacing w:before="120" w:line="240" w:lineRule="auto"/>
        <w:ind w:right="2041" w:firstLine="0"/>
        <w:jc w:val="left"/>
        <w:rPr>
          <w:b/>
        </w:rPr>
      </w:pPr>
    </w:p>
    <w:p w:rsidR="00EA3954" w:rsidRDefault="00EA3954">
      <w:bookmarkStart w:id="0" w:name="_GoBack"/>
      <w:bookmarkEnd w:id="0"/>
    </w:p>
    <w:sectPr w:rsidR="00EA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D0476"/>
    <w:multiLevelType w:val="multilevel"/>
    <w:tmpl w:val="8742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0"/>
    <w:rsid w:val="00015408"/>
    <w:rsid w:val="0003754E"/>
    <w:rsid w:val="000F7179"/>
    <w:rsid w:val="001649B7"/>
    <w:rsid w:val="001E67A1"/>
    <w:rsid w:val="00253A46"/>
    <w:rsid w:val="002669E6"/>
    <w:rsid w:val="00280910"/>
    <w:rsid w:val="00287FAC"/>
    <w:rsid w:val="002942DA"/>
    <w:rsid w:val="002D45F7"/>
    <w:rsid w:val="00305684"/>
    <w:rsid w:val="00336C8F"/>
    <w:rsid w:val="00352A78"/>
    <w:rsid w:val="003878F2"/>
    <w:rsid w:val="003A6113"/>
    <w:rsid w:val="00433B34"/>
    <w:rsid w:val="004A2440"/>
    <w:rsid w:val="004E7C49"/>
    <w:rsid w:val="006900FC"/>
    <w:rsid w:val="006F1806"/>
    <w:rsid w:val="00714EFD"/>
    <w:rsid w:val="00753132"/>
    <w:rsid w:val="00760237"/>
    <w:rsid w:val="00860F91"/>
    <w:rsid w:val="009A074A"/>
    <w:rsid w:val="00B77ED8"/>
    <w:rsid w:val="00BC4A84"/>
    <w:rsid w:val="00C437DD"/>
    <w:rsid w:val="00C8154C"/>
    <w:rsid w:val="00D10875"/>
    <w:rsid w:val="00E00B84"/>
    <w:rsid w:val="00E64819"/>
    <w:rsid w:val="00E76CEA"/>
    <w:rsid w:val="00EA3954"/>
    <w:rsid w:val="00EE4F9A"/>
    <w:rsid w:val="00F024A1"/>
    <w:rsid w:val="00F32F7E"/>
    <w:rsid w:val="00F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4ADD7-FA8A-46C7-82A8-A625A63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AC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F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F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C4A8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C4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1;&#1086;&#1075;&#1080;&#1085;&#1086;&#1074;&#1099;\Documents\&#1053;&#1086;&#1074;&#1072;&#1103;%20&#1087;&#1072;&#1087;&#1082;&#1072;\&#1069;&#1082;&#1086;&#1085;&#1086;&#1084;&#1080;&#1082;&#1072;%20&#1086;&#1088;&#1075;&#1072;&#1085;&#1080;&#1079;&#1072;&#1094;&#1080;&#1080;\&#1041;&#1050;&#1043;%20&#1088;&#1072;&#1089;&#1095;&#1077;&#1090;&#1099;%2047%20&#1074;&#1072;&#1088;&#1080;&#1072;&#1085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ubbleChart>
        <c:varyColors val="0"/>
        <c:ser>
          <c:idx val="0"/>
          <c:order val="0"/>
          <c:tx>
            <c:strRef>
              <c:f>Лист1!$A$14</c:f>
              <c:strCache>
                <c:ptCount val="1"/>
                <c:pt idx="0">
                  <c:v>А</c:v>
                </c:pt>
              </c:strCache>
            </c:strRef>
          </c:tx>
          <c:spPr>
            <a:noFill/>
            <a:ln w="31750">
              <a:solidFill>
                <a:schemeClr val="accent1">
                  <a:alpha val="70000"/>
                </a:schemeClr>
              </a:solidFill>
            </a:ln>
            <a:effectLst/>
          </c:spPr>
          <c:invertIfNegative val="0"/>
          <c:xVal>
            <c:numRef>
              <c:f>Лист1!$C$14</c:f>
              <c:numCache>
                <c:formatCode>0.00</c:formatCode>
                <c:ptCount val="1"/>
                <c:pt idx="0">
                  <c:v>173.94366197183098</c:v>
                </c:pt>
              </c:numCache>
            </c:numRef>
          </c:xVal>
          <c:yVal>
            <c:numRef>
              <c:f>Лист1!$B$14</c:f>
              <c:numCache>
                <c:formatCode>0.00</c:formatCode>
                <c:ptCount val="1"/>
                <c:pt idx="0">
                  <c:v>114.88372093023256</c:v>
                </c:pt>
              </c:numCache>
            </c:numRef>
          </c:yVal>
          <c:bubbleSize>
            <c:numRef>
              <c:f>Лист1!$D$14</c:f>
              <c:numCache>
                <c:formatCode>0.00</c:formatCode>
                <c:ptCount val="1"/>
                <c:pt idx="0">
                  <c:v>38.174273858921161</c:v>
                </c:pt>
              </c:numCache>
            </c:numRef>
          </c:bubbleSize>
          <c:bubble3D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EEE-4E07-BC5C-F33E6070B381}"/>
            </c:ext>
          </c:extLst>
        </c:ser>
        <c:ser>
          <c:idx val="1"/>
          <c:order val="1"/>
          <c:tx>
            <c:strRef>
              <c:f>Лист1!$A$15</c:f>
              <c:strCache>
                <c:ptCount val="1"/>
                <c:pt idx="0">
                  <c:v>Б</c:v>
                </c:pt>
              </c:strCache>
            </c:strRef>
          </c:tx>
          <c:spPr>
            <a:noFill/>
            <a:ln w="31750">
              <a:solidFill>
                <a:schemeClr val="accent2">
                  <a:alpha val="70000"/>
                </a:schemeClr>
              </a:solidFill>
            </a:ln>
            <a:effectLst/>
          </c:spPr>
          <c:invertIfNegative val="0"/>
          <c:xVal>
            <c:numRef>
              <c:f>Лист1!$C$15</c:f>
              <c:numCache>
                <c:formatCode>0.00</c:formatCode>
                <c:ptCount val="1"/>
                <c:pt idx="0">
                  <c:v>52.142857142857146</c:v>
                </c:pt>
              </c:numCache>
            </c:numRef>
          </c:xVal>
          <c:yVal>
            <c:numRef>
              <c:f>Лист1!$B$15</c:f>
              <c:numCache>
                <c:formatCode>0.00</c:formatCode>
                <c:ptCount val="1"/>
                <c:pt idx="0">
                  <c:v>79.347826086956516</c:v>
                </c:pt>
              </c:numCache>
            </c:numRef>
          </c:yVal>
          <c:bubbleSize>
            <c:numRef>
              <c:f>Лист1!$D$15</c:f>
              <c:numCache>
                <c:formatCode>0.00</c:formatCode>
                <c:ptCount val="1"/>
                <c:pt idx="0">
                  <c:v>11.20331950207469</c:v>
                </c:pt>
              </c:numCache>
            </c:numRef>
          </c:bubbleSize>
          <c:bubble3D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EEE-4E07-BC5C-F33E6070B381}"/>
            </c:ext>
          </c:extLst>
        </c:ser>
        <c:ser>
          <c:idx val="2"/>
          <c:order val="2"/>
          <c:tx>
            <c:strRef>
              <c:f>Лист1!$A$16</c:f>
              <c:strCache>
                <c:ptCount val="1"/>
                <c:pt idx="0">
                  <c:v>В</c:v>
                </c:pt>
              </c:strCache>
            </c:strRef>
          </c:tx>
          <c:spPr>
            <a:noFill/>
            <a:ln w="31750">
              <a:solidFill>
                <a:schemeClr val="accent3">
                  <a:alpha val="70000"/>
                </a:schemeClr>
              </a:solidFill>
            </a:ln>
            <a:effectLst/>
          </c:spPr>
          <c:invertIfNegative val="0"/>
          <c:xVal>
            <c:numRef>
              <c:f>Лист1!$C$16</c:f>
              <c:numCache>
                <c:formatCode>0.00</c:formatCode>
                <c:ptCount val="1"/>
                <c:pt idx="0">
                  <c:v>158.46153846153845</c:v>
                </c:pt>
              </c:numCache>
            </c:numRef>
          </c:xVal>
          <c:yVal>
            <c:numRef>
              <c:f>Лист1!$B$16</c:f>
              <c:numCache>
                <c:formatCode>0.00</c:formatCode>
                <c:ptCount val="1"/>
                <c:pt idx="0">
                  <c:v>88.793103448275872</c:v>
                </c:pt>
              </c:numCache>
            </c:numRef>
          </c:yVal>
          <c:bubbleSize>
            <c:numRef>
              <c:f>Лист1!$D$16</c:f>
              <c:numCache>
                <c:formatCode>0.00</c:formatCode>
                <c:ptCount val="1"/>
                <c:pt idx="0">
                  <c:v>14.107883817427386</c:v>
                </c:pt>
              </c:numCache>
            </c:numRef>
          </c:bubbleSize>
          <c:bubble3D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EEE-4E07-BC5C-F33E6070B381}"/>
            </c:ext>
          </c:extLst>
        </c:ser>
        <c:ser>
          <c:idx val="3"/>
          <c:order val="3"/>
          <c:tx>
            <c:strRef>
              <c:f>Лист1!$A$17</c:f>
              <c:strCache>
                <c:ptCount val="1"/>
                <c:pt idx="0">
                  <c:v>Г</c:v>
                </c:pt>
              </c:strCache>
            </c:strRef>
          </c:tx>
          <c:spPr>
            <a:noFill/>
            <a:ln w="31750">
              <a:solidFill>
                <a:schemeClr val="accent4">
                  <a:alpha val="70000"/>
                </a:schemeClr>
              </a:solidFill>
            </a:ln>
            <a:effectLst/>
          </c:spPr>
          <c:invertIfNegative val="0"/>
          <c:xVal>
            <c:numRef>
              <c:f>Лист1!$C$17</c:f>
              <c:numCache>
                <c:formatCode>0.00</c:formatCode>
                <c:ptCount val="1"/>
                <c:pt idx="0">
                  <c:v>93.333333333333329</c:v>
                </c:pt>
              </c:numCache>
            </c:numRef>
          </c:xVal>
          <c:yVal>
            <c:numRef>
              <c:f>Лист1!$B$17</c:f>
              <c:numCache>
                <c:formatCode>0.00</c:formatCode>
                <c:ptCount val="1"/>
                <c:pt idx="0">
                  <c:v>87.5</c:v>
                </c:pt>
              </c:numCache>
            </c:numRef>
          </c:yVal>
          <c:bubbleSize>
            <c:numRef>
              <c:f>Лист1!$D$17</c:f>
              <c:numCache>
                <c:formatCode>0.00</c:formatCode>
                <c:ptCount val="1"/>
                <c:pt idx="0">
                  <c:v>4.5643153526970952</c:v>
                </c:pt>
              </c:numCache>
            </c:numRef>
          </c:bubbleSize>
          <c:bubble3D val="0"/>
          <c:extLst xmlns:c16r2="http://schemas.microsoft.com/office/drawing/2015/06/chart">
            <c:ext xmlns:c16="http://schemas.microsoft.com/office/drawing/2014/chart" uri="{C3380CC4-5D6E-409C-BE32-E72D297353CC}">
              <c16:uniqueId val="{00000006-DEEE-4E07-BC5C-F33E6070B381}"/>
            </c:ext>
          </c:extLst>
        </c:ser>
        <c:ser>
          <c:idx val="4"/>
          <c:order val="4"/>
          <c:tx>
            <c:strRef>
              <c:f>Лист1!$A$18</c:f>
              <c:strCache>
                <c:ptCount val="1"/>
                <c:pt idx="0">
                  <c:v>Д</c:v>
                </c:pt>
              </c:strCache>
            </c:strRef>
          </c:tx>
          <c:spPr>
            <a:noFill/>
            <a:ln w="31750">
              <a:solidFill>
                <a:schemeClr val="accent5">
                  <a:alpha val="70000"/>
                </a:schemeClr>
              </a:solidFill>
            </a:ln>
            <a:effectLst/>
          </c:spPr>
          <c:invertIfNegative val="0"/>
          <c:xVal>
            <c:numRef>
              <c:f>Лист1!$C$18</c:f>
              <c:numCache>
                <c:formatCode>0.00</c:formatCode>
                <c:ptCount val="1"/>
                <c:pt idx="0">
                  <c:v>64.347826086956516</c:v>
                </c:pt>
              </c:numCache>
            </c:numRef>
          </c:xVal>
          <c:yVal>
            <c:numRef>
              <c:f>Лист1!$B$18</c:f>
              <c:numCache>
                <c:formatCode>0.00</c:formatCode>
                <c:ptCount val="1"/>
                <c:pt idx="0">
                  <c:v>92.5</c:v>
                </c:pt>
              </c:numCache>
            </c:numRef>
          </c:yVal>
          <c:bubbleSize>
            <c:numRef>
              <c:f>Лист1!$D$18</c:f>
              <c:numCache>
                <c:formatCode>0.00</c:formatCode>
                <c:ptCount val="1"/>
                <c:pt idx="0">
                  <c:v>12.033195020746888</c:v>
                </c:pt>
              </c:numCache>
            </c:numRef>
          </c:bubbleSize>
          <c:bubble3D val="0"/>
          <c:extLst xmlns:c16r2="http://schemas.microsoft.com/office/drawing/2015/06/chart">
            <c:ext xmlns:c16="http://schemas.microsoft.com/office/drawing/2014/chart" uri="{C3380CC4-5D6E-409C-BE32-E72D297353CC}">
              <c16:uniqueId val="{00000007-DEEE-4E07-BC5C-F33E6070B381}"/>
            </c:ext>
          </c:extLst>
        </c:ser>
        <c:ser>
          <c:idx val="5"/>
          <c:order val="5"/>
          <c:tx>
            <c:strRef>
              <c:f>Лист1!$A$19</c:f>
              <c:strCache>
                <c:ptCount val="1"/>
                <c:pt idx="0">
                  <c:v>Е</c:v>
                </c:pt>
              </c:strCache>
            </c:strRef>
          </c:tx>
          <c:spPr>
            <a:noFill/>
            <a:ln w="31750">
              <a:solidFill>
                <a:schemeClr val="accent6">
                  <a:alpha val="70000"/>
                </a:schemeClr>
              </a:solidFill>
            </a:ln>
            <a:effectLst/>
          </c:spPr>
          <c:invertIfNegative val="0"/>
          <c:xVal>
            <c:numRef>
              <c:f>Лист1!$C$19</c:f>
              <c:numCache>
                <c:formatCode>0.00</c:formatCode>
                <c:ptCount val="1"/>
                <c:pt idx="0">
                  <c:v>133.33333333333331</c:v>
                </c:pt>
              </c:numCache>
            </c:numRef>
          </c:xVal>
          <c:yVal>
            <c:numRef>
              <c:f>Лист1!$B$19</c:f>
              <c:numCache>
                <c:formatCode>0.00</c:formatCode>
                <c:ptCount val="1"/>
                <c:pt idx="0">
                  <c:v>80</c:v>
                </c:pt>
              </c:numCache>
            </c:numRef>
          </c:yVal>
          <c:bubbleSize>
            <c:numRef>
              <c:f>Лист1!$D$19</c:f>
              <c:numCache>
                <c:formatCode>0.00</c:formatCode>
                <c:ptCount val="1"/>
                <c:pt idx="0">
                  <c:v>6.6390041493775938</c:v>
                </c:pt>
              </c:numCache>
            </c:numRef>
          </c:bubbleSize>
          <c:bubble3D val="0"/>
          <c:extLst xmlns:c16r2="http://schemas.microsoft.com/office/drawing/2015/06/chart">
            <c:ext xmlns:c16="http://schemas.microsoft.com/office/drawing/2014/chart" uri="{C3380CC4-5D6E-409C-BE32-E72D297353CC}">
              <c16:uniqueId val="{00000008-DEEE-4E07-BC5C-F33E6070B381}"/>
            </c:ext>
          </c:extLst>
        </c:ser>
        <c:ser>
          <c:idx val="6"/>
          <c:order val="6"/>
          <c:tx>
            <c:strRef>
              <c:f>Лист1!$A$20</c:f>
              <c:strCache>
                <c:ptCount val="1"/>
                <c:pt idx="0">
                  <c:v>Ж</c:v>
                </c:pt>
              </c:strCache>
            </c:strRef>
          </c:tx>
          <c:spPr>
            <a:noFill/>
            <a:ln w="31750">
              <a:solidFill>
                <a:schemeClr val="accent1">
                  <a:lumMod val="60000"/>
                  <a:alpha val="70000"/>
                </a:schemeClr>
              </a:solidFill>
            </a:ln>
            <a:effectLst/>
          </c:spPr>
          <c:invertIfNegative val="0"/>
          <c:xVal>
            <c:numRef>
              <c:f>Лист1!$C$20</c:f>
              <c:numCache>
                <c:formatCode>0.00</c:formatCode>
                <c:ptCount val="1"/>
                <c:pt idx="0">
                  <c:v>125</c:v>
                </c:pt>
              </c:numCache>
            </c:numRef>
          </c:xVal>
          <c:yVal>
            <c:numRef>
              <c:f>Лист1!$B$20</c:f>
              <c:numCache>
                <c:formatCode>0.00</c:formatCode>
                <c:ptCount val="1"/>
                <c:pt idx="0">
                  <c:v>113.63636363636364</c:v>
                </c:pt>
              </c:numCache>
            </c:numRef>
          </c:yVal>
          <c:bubbleSize>
            <c:numRef>
              <c:f>Лист1!$D$20</c:f>
              <c:numCache>
                <c:formatCode>0.00</c:formatCode>
                <c:ptCount val="1"/>
                <c:pt idx="0">
                  <c:v>13.278008298755188</c:v>
                </c:pt>
              </c:numCache>
            </c:numRef>
          </c:bubbleSize>
          <c:bubble3D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276224136"/>
        <c:axId val="276222960"/>
      </c:bubbleChart>
      <c:valAx>
        <c:axId val="276224136"/>
        <c:scaling>
          <c:orientation val="minMax"/>
          <c:max val="200"/>
          <c:min val="0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b="1">
                    <a:solidFill>
                      <a:schemeClr val="tx1"/>
                    </a:solidFill>
                  </a:rPr>
                  <a:t>Относительная доля</a:t>
                </a:r>
                <a:r>
                  <a:rPr lang="ru-RU" sz="1400" b="1" baseline="0">
                    <a:solidFill>
                      <a:schemeClr val="tx1"/>
                    </a:solidFill>
                  </a:rPr>
                  <a:t> рынка, %</a:t>
                </a:r>
                <a:endParaRPr lang="ru-RU" sz="14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0.32711165556498439"/>
              <c:y val="0.912236789829161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25000"/>
                <a:lumOff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222960"/>
        <c:crossesAt val="110"/>
        <c:crossBetween val="midCat"/>
        <c:majorUnit val="100"/>
        <c:minorUnit val="100"/>
      </c:valAx>
      <c:valAx>
        <c:axId val="276222960"/>
        <c:scaling>
          <c:orientation val="minMax"/>
          <c:max val="228.73"/>
          <c:min val="0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400" b="1">
                    <a:solidFill>
                      <a:schemeClr val="tx1"/>
                    </a:solidFill>
                  </a:rPr>
                  <a:t>Темп роста, %</a:t>
                </a:r>
              </a:p>
            </c:rich>
          </c:tx>
          <c:layout>
            <c:manualLayout>
              <c:xMode val="edge"/>
              <c:yMode val="edge"/>
              <c:x val="6.9930082765281417E-3"/>
              <c:y val="0.414471671374808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25000"/>
                <a:lumOff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6224136"/>
        <c:crossesAt val="100"/>
        <c:crossBetween val="midCat"/>
        <c:majorUnit val="110"/>
        <c:minorUnit val="110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7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>
        <a:solidFill>
          <a:schemeClr val="tx1">
            <a:lumMod val="15000"/>
            <a:lumOff val="85000"/>
          </a:schemeClr>
        </a:solidFill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31750">
        <a:solidFill>
          <a:schemeClr val="phClr">
            <a:alpha val="7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noFill/>
      <a:ln w="31750">
        <a:solidFill>
          <a:schemeClr val="phClr">
            <a:alpha val="70000"/>
          </a:schemeClr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spPr>
      <a:ln>
        <a:solidFill>
          <a:schemeClr val="tx1">
            <a:lumMod val="25000"/>
            <a:lumOff val="75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2019-10-22T17:41:00Z</dcterms:created>
  <dcterms:modified xsi:type="dcterms:W3CDTF">2021-03-23T16:11:00Z</dcterms:modified>
</cp:coreProperties>
</file>